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551FF" w14:textId="234E7E86" w:rsidR="000342CF" w:rsidRDefault="000342CF" w:rsidP="0029744F">
      <w:pPr>
        <w:pStyle w:val="a3"/>
        <w:spacing w:after="0" w:line="360" w:lineRule="auto"/>
        <w:ind w:left="0" w:right="-40"/>
        <w:jc w:val="center"/>
        <w:rPr>
          <w:rFonts w:ascii="ISOCPEUR" w:hAnsi="ISOCPEUR"/>
          <w:i/>
        </w:rPr>
      </w:pPr>
      <w:r>
        <w:rPr>
          <w:rFonts w:ascii="ISOCPEUR" w:hAnsi="ISOCPEUR"/>
          <w:i/>
        </w:rPr>
        <w:t>LOGU RESTAURĀCIJA</w:t>
      </w:r>
    </w:p>
    <w:p w14:paraId="4E31F796" w14:textId="54466AA0" w:rsidR="00C974FF" w:rsidRPr="005F339F" w:rsidRDefault="006E7EDE" w:rsidP="0029744F">
      <w:pPr>
        <w:pStyle w:val="a3"/>
        <w:spacing w:after="0" w:line="360" w:lineRule="auto"/>
        <w:ind w:left="0" w:right="-40"/>
        <w:jc w:val="center"/>
        <w:rPr>
          <w:rFonts w:ascii="ISOCPEUR" w:hAnsi="ISOCPEUR"/>
          <w:i/>
        </w:rPr>
      </w:pPr>
      <w:r w:rsidRPr="005F339F">
        <w:rPr>
          <w:rFonts w:ascii="ISOCPEUR" w:hAnsi="ISOCPEUR"/>
          <w:i/>
        </w:rPr>
        <w:t>BŪVDARBU APRAKSTS</w:t>
      </w:r>
    </w:p>
    <w:p w14:paraId="0BA08328" w14:textId="7C9270A0" w:rsidR="007905F2" w:rsidRPr="007905F2" w:rsidRDefault="007905F2" w:rsidP="007905F2">
      <w:pPr>
        <w:ind w:firstLine="567"/>
        <w:rPr>
          <w:i/>
        </w:rPr>
      </w:pPr>
      <w:r w:rsidRPr="007905F2">
        <w:rPr>
          <w:i/>
        </w:rPr>
        <w:t xml:space="preserve">Tiks atjaunoti </w:t>
      </w:r>
      <w:r>
        <w:rPr>
          <w:i/>
        </w:rPr>
        <w:t xml:space="preserve">(ar fēnu noņemtas esošas krāsu kārtas līdz koksnei, protezēt </w:t>
      </w:r>
      <w:r w:rsidRPr="007905F2">
        <w:rPr>
          <w:i/>
        </w:rPr>
        <w:t>un pārkrāsoti esošie telpu logi. Pārējā ēkā tiks nomainīti esošie alumīnija logi un izgatavoti jauni priedes koka stikla pakešu logi (Uw,</w:t>
      </w:r>
      <w:r>
        <w:rPr>
          <w:i/>
        </w:rPr>
        <w:t xml:space="preserve"> ≤ </w:t>
      </w:r>
      <w:r w:rsidRPr="007905F2">
        <w:rPr>
          <w:i/>
        </w:rPr>
        <w:t xml:space="preserve">1,1 W/m² K), ar profilējumu, kas iespējami tuvu atveido oriģinālo logu profilus, bet saglabāti esošie “eirologi”, kam dalījums un profilējums atbilst ēkas stilistikai. </w:t>
      </w:r>
    </w:p>
    <w:p w14:paraId="27D44F01" w14:textId="1D5506F6" w:rsidR="007905F2" w:rsidRPr="007905F2" w:rsidRDefault="007905F2" w:rsidP="007905F2">
      <w:pPr>
        <w:ind w:firstLine="567"/>
        <w:rPr>
          <w:i/>
        </w:rPr>
      </w:pPr>
      <w:r w:rsidRPr="007905F2">
        <w:rPr>
          <w:i/>
        </w:rPr>
        <w:t xml:space="preserve">Logu aplodas un vērtnes tiks izgatavotas no </w:t>
      </w:r>
      <w:r>
        <w:rPr>
          <w:i/>
        </w:rPr>
        <w:t xml:space="preserve">A klases </w:t>
      </w:r>
      <w:r w:rsidRPr="007905F2">
        <w:rPr>
          <w:i/>
        </w:rPr>
        <w:t>gaissausa, bezzarainas koksnes. Pēc izgatavošanas tiks gruntētas un divas reizes krāsotas ar otu ar sedzošu, pusmatētu auksti spiestas lineļļas bāzes krāsu. Logu vērtnes, aplodas un palodzes no iekštelpu puses tiks krāsotas baltas (NCS S-0500), bet logu vērtnes no fasādes puses krāsotas pēc saskaņotās krāsu pases, toņi tiks saskaņoti ar autoruzraugu. Stikla paketēm tiks izmantoti tumši pelēki distanceri (pirms tam saskaņoti ar autoruzraugu), stikla paketēm tiks izmantoti netonēti, vizuāli neitrāli stikli ar gaismas caurlaidību LT</w:t>
      </w:r>
      <w:r>
        <w:rPr>
          <w:i/>
        </w:rPr>
        <w:t xml:space="preserve"> ≥ </w:t>
      </w:r>
      <w:r w:rsidRPr="007905F2">
        <w:rPr>
          <w:i/>
        </w:rPr>
        <w:t>68%, saules enerģijas cauraidību g value</w:t>
      </w:r>
      <w:r>
        <w:rPr>
          <w:i/>
        </w:rPr>
        <w:t xml:space="preserve"> ≤ </w:t>
      </w:r>
      <w:r w:rsidRPr="007905F2">
        <w:rPr>
          <w:i/>
        </w:rPr>
        <w:t>66%.</w:t>
      </w:r>
    </w:p>
    <w:p w14:paraId="16E7990E" w14:textId="77777777" w:rsidR="007905F2" w:rsidRPr="007905F2" w:rsidRDefault="007905F2" w:rsidP="007905F2">
      <w:pPr>
        <w:ind w:firstLine="567"/>
        <w:rPr>
          <w:i/>
        </w:rPr>
      </w:pPr>
      <w:r w:rsidRPr="007905F2">
        <w:rPr>
          <w:i/>
        </w:rPr>
        <w:t xml:space="preserve">Pirms izgatavošanas tiks pārmērītas visas ailas uz vietas būvlaukumā. </w:t>
      </w:r>
    </w:p>
    <w:p w14:paraId="718704D9" w14:textId="641F8B45" w:rsidR="007905F2" w:rsidRDefault="007905F2" w:rsidP="007905F2">
      <w:pPr>
        <w:ind w:firstLine="567"/>
        <w:rPr>
          <w:i/>
        </w:rPr>
      </w:pPr>
      <w:r w:rsidRPr="007905F2">
        <w:rPr>
          <w:i/>
        </w:rPr>
        <w:t xml:space="preserve">Galvenās ieejas durvis tiek saglabātas, tikai vides pieejamības nodrošināšanai nepieciešama vērtnes saīsināšana. Bankas dienesta ieejas durvis - atjaunotas, Mežniecības ieejas durvis tiks izgatavotas no jauna pēc bankas ieejas durvju parauga. Atjaunoti pārējie vārti un durvis saskaņā ar būvprojektu. Durvju aplodas un vērtnes tiks izgatavotas no </w:t>
      </w:r>
      <w:r>
        <w:rPr>
          <w:i/>
        </w:rPr>
        <w:t>A klases</w:t>
      </w:r>
      <w:r w:rsidRPr="007905F2">
        <w:rPr>
          <w:i/>
        </w:rPr>
        <w:t>, gaissausa, bezzarainas koksnes. Stiklojumam izmantots slīpēts stikls analogs oriģinālajam vērtnēs.</w:t>
      </w:r>
    </w:p>
    <w:p w14:paraId="1805C759" w14:textId="6CC59515" w:rsidR="007905F2" w:rsidRPr="007905F2" w:rsidRDefault="007905F2" w:rsidP="007905F2">
      <w:pPr>
        <w:ind w:firstLine="567"/>
        <w:rPr>
          <w:i/>
        </w:rPr>
      </w:pPr>
      <w:r w:rsidRPr="007905F2">
        <w:rPr>
          <w:i/>
        </w:rPr>
        <w:t>Koka elementu attīrīšana no pārkrāsojumu slāņiem un UV staru bojātās pelēkās koksnes slāņa saudzīgi noslīpējot līdz dzīvai koksnei. Bojāto koksni notīrīt līdz stabilai pamatnei ar smilšpapīru vai koka skrāpi. Paredzēt protezēšanu vai nomaiņu.</w:t>
      </w:r>
    </w:p>
    <w:p w14:paraId="30BD6B96" w14:textId="6D546C9B" w:rsidR="007905F2" w:rsidRPr="007905F2" w:rsidRDefault="007905F2" w:rsidP="007905F2">
      <w:pPr>
        <w:ind w:firstLine="567"/>
        <w:rPr>
          <w:i/>
        </w:rPr>
      </w:pPr>
      <w:r w:rsidRPr="007905F2">
        <w:rPr>
          <w:i/>
        </w:rPr>
        <w:t>Tiek veikta koka logu un durvju stiklu pārstiklošana un aizdare. Vēsturiskajiem logiem stiklu aizdare ar lineļļas tepi Bartoline Multi-Purpose linseed oil putty, un padomju laika logiem un durvīm ar tepi Zwaluw Monustop.</w:t>
      </w:r>
    </w:p>
    <w:p w14:paraId="6DD5338E" w14:textId="77777777" w:rsidR="007905F2" w:rsidRPr="007905F2" w:rsidRDefault="007905F2" w:rsidP="007905F2">
      <w:pPr>
        <w:ind w:firstLine="567"/>
        <w:rPr>
          <w:i/>
        </w:rPr>
      </w:pPr>
      <w:r w:rsidRPr="007905F2">
        <w:rPr>
          <w:i/>
        </w:rPr>
        <w:t>Attīrītu koka elementu impregnēšana aizsardzībai pret atmosfēras ietekmi un pelējumu ar gruntēšanas līdzekli uz bezkrāsaina šķidinātaja bāzes Villa Protekt.</w:t>
      </w:r>
    </w:p>
    <w:p w14:paraId="2727B52A" w14:textId="77777777" w:rsidR="007905F2" w:rsidRPr="007905F2" w:rsidRDefault="007905F2" w:rsidP="007905F2">
      <w:pPr>
        <w:ind w:firstLine="567"/>
        <w:rPr>
          <w:i/>
        </w:rPr>
      </w:pPr>
      <w:r w:rsidRPr="007905F2">
        <w:rPr>
          <w:i/>
        </w:rPr>
        <w:t>Bojāto elementu saudzīga demontāža un pārbūve ar oriģinālam atbilstošu koksni.</w:t>
      </w:r>
    </w:p>
    <w:p w14:paraId="395DD95C" w14:textId="77777777" w:rsidR="007905F2" w:rsidRPr="007905F2" w:rsidRDefault="007905F2" w:rsidP="007905F2">
      <w:pPr>
        <w:ind w:firstLine="567"/>
        <w:rPr>
          <w:i/>
        </w:rPr>
      </w:pPr>
      <w:r w:rsidRPr="007905F2">
        <w:rPr>
          <w:i/>
        </w:rPr>
        <w:t>Nelielu koksnes zudumu protezēšana ar divkomponentu epoksīda masu Capadur Holtz-Repair AS (skat. zemāk aprakstu).</w:t>
      </w:r>
    </w:p>
    <w:p w14:paraId="606874BD" w14:textId="77777777" w:rsidR="007905F2" w:rsidRPr="007905F2" w:rsidRDefault="007905F2" w:rsidP="007905F2">
      <w:pPr>
        <w:ind w:firstLine="567"/>
        <w:rPr>
          <w:i/>
        </w:rPr>
      </w:pPr>
      <w:r w:rsidRPr="007905F2">
        <w:rPr>
          <w:i/>
        </w:rPr>
        <w:t>Koka elementu savienojuma vietu un plaisu aizpildīšana ar elastīgu špakteļtepi uz lineļļas bāzes Histolith Sanopas-Holzrisspaste (skat. zemāk aprakstu) vai ar logu tepi uz lineļļas pamata Bartoline Multi-Purpose linseed oil putty.</w:t>
      </w:r>
    </w:p>
    <w:p w14:paraId="22535A18" w14:textId="77777777" w:rsidR="007905F2" w:rsidRPr="007905F2" w:rsidRDefault="007905F2" w:rsidP="007905F2">
      <w:pPr>
        <w:ind w:firstLine="567"/>
        <w:rPr>
          <w:i/>
        </w:rPr>
      </w:pPr>
      <w:r w:rsidRPr="007905F2">
        <w:rPr>
          <w:i/>
        </w:rPr>
        <w:t>Finiša krāsojums ar tonētu lineļļas saturošu krāsu Villa Lin, krāsu uzklājot ar otu plānā kārtā 2 - 3 reizes. Starp krāsošanas reizēm izturēt vismaz 48 h žūšanas ciklu.</w:t>
      </w:r>
    </w:p>
    <w:p w14:paraId="1859E822" w14:textId="6BF09BE6" w:rsidR="007905F2" w:rsidRPr="007905F2" w:rsidRDefault="007905F2" w:rsidP="007905F2">
      <w:pPr>
        <w:ind w:firstLine="567"/>
        <w:rPr>
          <w:i/>
        </w:rPr>
      </w:pPr>
      <w:r w:rsidRPr="007905F2">
        <w:rPr>
          <w:i/>
        </w:rPr>
        <w:t>Koksens zudumu protezēšana ar Capadur Holtz-Repair AS sistēmu:</w:t>
      </w:r>
    </w:p>
    <w:p w14:paraId="424DD7FB" w14:textId="77777777" w:rsidR="007905F2" w:rsidRPr="007905F2" w:rsidRDefault="007905F2" w:rsidP="007905F2">
      <w:pPr>
        <w:ind w:firstLine="567"/>
        <w:rPr>
          <w:i/>
          <w:szCs w:val="24"/>
        </w:rPr>
      </w:pPr>
    </w:p>
    <w:tbl>
      <w:tblPr>
        <w:tblStyle w:val="a6"/>
        <w:tblW w:w="0" w:type="auto"/>
        <w:tblLook w:val="04A0" w:firstRow="1" w:lastRow="0" w:firstColumn="1" w:lastColumn="0" w:noHBand="0" w:noVBand="1"/>
      </w:tblPr>
      <w:tblGrid>
        <w:gridCol w:w="4926"/>
        <w:gridCol w:w="4926"/>
      </w:tblGrid>
      <w:tr w:rsidR="007905F2" w:rsidRPr="007905F2" w14:paraId="1CFBB57C" w14:textId="77777777" w:rsidTr="00714A9E">
        <w:tc>
          <w:tcPr>
            <w:tcW w:w="9852" w:type="dxa"/>
            <w:gridSpan w:val="2"/>
          </w:tcPr>
          <w:p w14:paraId="14124C09" w14:textId="3B96E6C7" w:rsidR="007905F2" w:rsidRPr="005F339F" w:rsidRDefault="007905F2" w:rsidP="007905F2">
            <w:pPr>
              <w:ind w:firstLine="567"/>
              <w:jc w:val="center"/>
              <w:rPr>
                <w:i/>
                <w:lang w:val="lv-LV"/>
              </w:rPr>
            </w:pPr>
            <w:r w:rsidRPr="007905F2">
              <w:rPr>
                <w:rFonts w:ascii="ISOCPEUR" w:hAnsi="ISOCPEUR"/>
                <w:i/>
                <w:sz w:val="24"/>
                <w:szCs w:val="22"/>
                <w:lang w:val="lv-LV" w:eastAsia="en-US"/>
              </w:rPr>
              <w:t>Protezējamo vietu gruntēšana ar divkompunentu grunti Capadur Repair P (sajauktu izstrādāt 20 minūtēs)</w:t>
            </w:r>
          </w:p>
        </w:tc>
      </w:tr>
      <w:tr w:rsidR="007905F2" w:rsidRPr="007905F2" w14:paraId="3AAECBD8" w14:textId="77777777" w:rsidTr="007905F2">
        <w:tc>
          <w:tcPr>
            <w:tcW w:w="4926" w:type="dxa"/>
          </w:tcPr>
          <w:p w14:paraId="278157C8" w14:textId="1B68859F" w:rsidR="007905F2" w:rsidRPr="007905F2" w:rsidRDefault="007905F2" w:rsidP="007905F2">
            <w:pPr>
              <w:rPr>
                <w:rFonts w:ascii="ISOCPEUR" w:hAnsi="ISOCPEUR"/>
                <w:i/>
                <w:sz w:val="24"/>
                <w:szCs w:val="24"/>
              </w:rPr>
            </w:pPr>
            <w:r w:rsidRPr="007905F2">
              <w:rPr>
                <w:i/>
                <w:noProof/>
              </w:rPr>
              <w:lastRenderedPageBreak/>
              <w:drawing>
                <wp:inline distT="0" distB="0" distL="0" distR="0" wp14:anchorId="13DADE29" wp14:editId="54BA37D4">
                  <wp:extent cx="2916000" cy="1932197"/>
                  <wp:effectExtent l="38100" t="38100" r="36830" b="304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6000" cy="1932197"/>
                          </a:xfrm>
                          <a:prstGeom prst="rect">
                            <a:avLst/>
                          </a:prstGeom>
                          <a:noFill/>
                          <a:ln w="28575" cmpd="sng">
                            <a:solidFill>
                              <a:srgbClr val="FFFFFF"/>
                            </a:solidFill>
                            <a:miter lim="800000"/>
                            <a:headEnd/>
                            <a:tailEnd/>
                          </a:ln>
                          <a:effectLst/>
                        </pic:spPr>
                      </pic:pic>
                    </a:graphicData>
                  </a:graphic>
                </wp:inline>
              </w:drawing>
            </w:r>
          </w:p>
        </w:tc>
        <w:tc>
          <w:tcPr>
            <w:tcW w:w="4926" w:type="dxa"/>
          </w:tcPr>
          <w:p w14:paraId="28114C74" w14:textId="7939F4D0" w:rsidR="007905F2" w:rsidRPr="007905F2" w:rsidRDefault="007905F2" w:rsidP="007905F2">
            <w:pPr>
              <w:rPr>
                <w:rFonts w:ascii="ISOCPEUR" w:hAnsi="ISOCPEUR"/>
                <w:i/>
                <w:sz w:val="24"/>
                <w:szCs w:val="24"/>
              </w:rPr>
            </w:pPr>
            <w:r w:rsidRPr="007905F2">
              <w:rPr>
                <w:i/>
                <w:noProof/>
              </w:rPr>
              <w:drawing>
                <wp:inline distT="0" distB="0" distL="0" distR="0" wp14:anchorId="3F71C5BA" wp14:editId="249B8D3D">
                  <wp:extent cx="2916000" cy="19524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6000" cy="1952440"/>
                          </a:xfrm>
                          <a:prstGeom prst="rect">
                            <a:avLst/>
                          </a:prstGeom>
                          <a:noFill/>
                        </pic:spPr>
                      </pic:pic>
                    </a:graphicData>
                  </a:graphic>
                </wp:inline>
              </w:drawing>
            </w:r>
          </w:p>
        </w:tc>
      </w:tr>
      <w:tr w:rsidR="007905F2" w:rsidRPr="007905F2" w14:paraId="3D0701E0" w14:textId="77777777" w:rsidTr="007905F2">
        <w:tc>
          <w:tcPr>
            <w:tcW w:w="4926" w:type="dxa"/>
          </w:tcPr>
          <w:p w14:paraId="7F6E2312" w14:textId="5A649CDE" w:rsidR="007905F2" w:rsidRPr="007905F2" w:rsidRDefault="007905F2" w:rsidP="007905F2">
            <w:pPr>
              <w:rPr>
                <w:rFonts w:ascii="ISOCPEUR" w:hAnsi="ISOCPEUR"/>
                <w:i/>
                <w:sz w:val="24"/>
                <w:szCs w:val="24"/>
              </w:rPr>
            </w:pPr>
          </w:p>
        </w:tc>
        <w:tc>
          <w:tcPr>
            <w:tcW w:w="4926" w:type="dxa"/>
          </w:tcPr>
          <w:p w14:paraId="3F445F40" w14:textId="152D3F69" w:rsidR="007905F2" w:rsidRPr="007905F2" w:rsidRDefault="007905F2" w:rsidP="007905F2">
            <w:pPr>
              <w:rPr>
                <w:rFonts w:ascii="ISOCPEUR" w:hAnsi="ISOCPEUR"/>
                <w:i/>
                <w:sz w:val="24"/>
                <w:szCs w:val="24"/>
              </w:rPr>
            </w:pPr>
          </w:p>
        </w:tc>
      </w:tr>
      <w:tr w:rsidR="007905F2" w:rsidRPr="007905F2" w14:paraId="17D09D5C" w14:textId="77777777" w:rsidTr="007905F2">
        <w:tc>
          <w:tcPr>
            <w:tcW w:w="4926" w:type="dxa"/>
          </w:tcPr>
          <w:p w14:paraId="50DFD03B" w14:textId="7E459233" w:rsidR="007905F2" w:rsidRPr="007905F2" w:rsidRDefault="007905F2" w:rsidP="007905F2">
            <w:pPr>
              <w:rPr>
                <w:rFonts w:ascii="ISOCPEUR" w:hAnsi="ISOCPEUR"/>
                <w:i/>
                <w:sz w:val="24"/>
                <w:szCs w:val="24"/>
              </w:rPr>
            </w:pPr>
            <w:r w:rsidRPr="007905F2">
              <w:rPr>
                <w:i/>
                <w:noProof/>
              </w:rPr>
              <w:drawing>
                <wp:inline distT="0" distB="0" distL="0" distR="0" wp14:anchorId="4E06B58C" wp14:editId="58F9154D">
                  <wp:extent cx="2916000" cy="1949526"/>
                  <wp:effectExtent l="19050" t="19050" r="17780" b="1270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6000" cy="1949526"/>
                          </a:xfrm>
                          <a:prstGeom prst="rect">
                            <a:avLst/>
                          </a:prstGeom>
                          <a:noFill/>
                          <a:ln w="9525">
                            <a:solidFill>
                              <a:srgbClr val="FFFFFF"/>
                            </a:solidFill>
                            <a:miter lim="800000"/>
                            <a:headEnd/>
                            <a:tailEnd/>
                          </a:ln>
                          <a:effectLst/>
                        </pic:spPr>
                      </pic:pic>
                    </a:graphicData>
                  </a:graphic>
                </wp:inline>
              </w:drawing>
            </w:r>
          </w:p>
        </w:tc>
        <w:tc>
          <w:tcPr>
            <w:tcW w:w="4926" w:type="dxa"/>
          </w:tcPr>
          <w:p w14:paraId="354449D1" w14:textId="62E31D0E" w:rsidR="007905F2" w:rsidRPr="007905F2" w:rsidRDefault="007905F2" w:rsidP="007905F2">
            <w:pPr>
              <w:rPr>
                <w:rFonts w:ascii="ISOCPEUR" w:hAnsi="ISOCPEUR"/>
                <w:i/>
                <w:sz w:val="24"/>
                <w:szCs w:val="24"/>
              </w:rPr>
            </w:pPr>
            <w:r w:rsidRPr="007905F2">
              <w:rPr>
                <w:i/>
                <w:noProof/>
              </w:rPr>
              <w:drawing>
                <wp:inline distT="0" distB="0" distL="0" distR="0" wp14:anchorId="3DDE916E" wp14:editId="5938E797">
                  <wp:extent cx="2916000" cy="1944467"/>
                  <wp:effectExtent l="38100" t="38100" r="36830" b="3683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6000" cy="1944467"/>
                          </a:xfrm>
                          <a:prstGeom prst="rect">
                            <a:avLst/>
                          </a:prstGeom>
                          <a:noFill/>
                          <a:ln w="28575">
                            <a:solidFill>
                              <a:srgbClr val="FFFFFF"/>
                            </a:solidFill>
                            <a:miter lim="800000"/>
                            <a:headEnd/>
                            <a:tailEnd/>
                          </a:ln>
                          <a:effectLst/>
                        </pic:spPr>
                      </pic:pic>
                    </a:graphicData>
                  </a:graphic>
                </wp:inline>
              </w:drawing>
            </w:r>
          </w:p>
        </w:tc>
      </w:tr>
      <w:tr w:rsidR="007905F2" w:rsidRPr="007905F2" w14:paraId="62B0AAE9" w14:textId="77777777" w:rsidTr="007905F2">
        <w:tc>
          <w:tcPr>
            <w:tcW w:w="4926" w:type="dxa"/>
          </w:tcPr>
          <w:p w14:paraId="3931A25F" w14:textId="68E34AA6" w:rsidR="007905F2" w:rsidRPr="007905F2" w:rsidRDefault="007905F2" w:rsidP="007905F2">
            <w:pPr>
              <w:rPr>
                <w:rFonts w:ascii="ISOCPEUR" w:hAnsi="ISOCPEUR"/>
                <w:i/>
                <w:sz w:val="24"/>
                <w:szCs w:val="24"/>
              </w:rPr>
            </w:pPr>
          </w:p>
        </w:tc>
        <w:tc>
          <w:tcPr>
            <w:tcW w:w="4926" w:type="dxa"/>
          </w:tcPr>
          <w:p w14:paraId="402EE915" w14:textId="5E053975" w:rsidR="007905F2" w:rsidRPr="007905F2" w:rsidRDefault="007905F2" w:rsidP="007905F2">
            <w:pPr>
              <w:rPr>
                <w:rFonts w:ascii="ISOCPEUR" w:hAnsi="ISOCPEUR"/>
                <w:i/>
                <w:sz w:val="24"/>
                <w:szCs w:val="24"/>
              </w:rPr>
            </w:pPr>
          </w:p>
        </w:tc>
      </w:tr>
      <w:tr w:rsidR="007905F2" w:rsidRPr="007905F2" w14:paraId="7F6C0E5B" w14:textId="77777777" w:rsidTr="001D42E9">
        <w:tc>
          <w:tcPr>
            <w:tcW w:w="9852" w:type="dxa"/>
            <w:gridSpan w:val="2"/>
          </w:tcPr>
          <w:p w14:paraId="0B816E2B" w14:textId="591C8A0F" w:rsidR="007905F2" w:rsidRPr="007905F2" w:rsidRDefault="007905F2" w:rsidP="007905F2">
            <w:pPr>
              <w:jc w:val="center"/>
              <w:rPr>
                <w:rFonts w:ascii="ISOCPEUR" w:hAnsi="ISOCPEUR"/>
                <w:i/>
                <w:sz w:val="24"/>
                <w:szCs w:val="24"/>
              </w:rPr>
            </w:pPr>
            <w:r w:rsidRPr="007905F2">
              <w:rPr>
                <w:rFonts w:ascii="ISOCPEUR" w:hAnsi="ISOCPEUR"/>
                <w:i/>
                <w:sz w:val="24"/>
                <w:szCs w:val="22"/>
                <w:lang w:val="lv-LV" w:eastAsia="en-US"/>
              </w:rPr>
              <w:t>Zudumu vietu rekonstrukcija ar  divkomponentu epoksīda masu Capadur Holtz-Repair AS</w:t>
            </w:r>
          </w:p>
        </w:tc>
      </w:tr>
      <w:tr w:rsidR="007905F2" w:rsidRPr="007905F2" w14:paraId="139A55B6" w14:textId="77777777" w:rsidTr="007905F2">
        <w:tc>
          <w:tcPr>
            <w:tcW w:w="4926" w:type="dxa"/>
          </w:tcPr>
          <w:p w14:paraId="4B16FC0D" w14:textId="043339CA" w:rsidR="007905F2" w:rsidRPr="007905F2" w:rsidRDefault="007905F2" w:rsidP="007905F2">
            <w:pPr>
              <w:rPr>
                <w:rFonts w:ascii="ISOCPEUR" w:hAnsi="ISOCPEUR"/>
                <w:i/>
                <w:sz w:val="24"/>
                <w:szCs w:val="24"/>
              </w:rPr>
            </w:pPr>
            <w:r w:rsidRPr="007905F2">
              <w:rPr>
                <w:i/>
                <w:noProof/>
              </w:rPr>
              <w:drawing>
                <wp:inline distT="0" distB="0" distL="0" distR="0" wp14:anchorId="7815CC76" wp14:editId="0AB30351">
                  <wp:extent cx="2916000" cy="1956654"/>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6000" cy="1956654"/>
                          </a:xfrm>
                          <a:prstGeom prst="rect">
                            <a:avLst/>
                          </a:prstGeom>
                          <a:noFill/>
                          <a:ln>
                            <a:noFill/>
                          </a:ln>
                        </pic:spPr>
                      </pic:pic>
                    </a:graphicData>
                  </a:graphic>
                </wp:inline>
              </w:drawing>
            </w:r>
          </w:p>
        </w:tc>
        <w:tc>
          <w:tcPr>
            <w:tcW w:w="4926" w:type="dxa"/>
          </w:tcPr>
          <w:p w14:paraId="4BD05D5B" w14:textId="6926332E" w:rsidR="007905F2" w:rsidRPr="007905F2" w:rsidRDefault="007905F2" w:rsidP="007905F2">
            <w:pPr>
              <w:rPr>
                <w:rFonts w:ascii="ISOCPEUR" w:hAnsi="ISOCPEUR"/>
                <w:i/>
                <w:sz w:val="24"/>
                <w:szCs w:val="24"/>
              </w:rPr>
            </w:pPr>
            <w:r w:rsidRPr="007905F2">
              <w:rPr>
                <w:i/>
                <w:noProof/>
              </w:rPr>
              <w:drawing>
                <wp:inline distT="0" distB="0" distL="0" distR="0" wp14:anchorId="79865A61" wp14:editId="0A98DECA">
                  <wp:extent cx="2916000" cy="1941091"/>
                  <wp:effectExtent l="38100" t="38100" r="36830" b="406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6000" cy="1941091"/>
                          </a:xfrm>
                          <a:prstGeom prst="rect">
                            <a:avLst/>
                          </a:prstGeom>
                          <a:noFill/>
                          <a:ln w="28575">
                            <a:solidFill>
                              <a:srgbClr val="FFFFFF"/>
                            </a:solidFill>
                            <a:miter lim="800000"/>
                            <a:headEnd/>
                            <a:tailEnd/>
                          </a:ln>
                          <a:effectLst/>
                        </pic:spPr>
                      </pic:pic>
                    </a:graphicData>
                  </a:graphic>
                </wp:inline>
              </w:drawing>
            </w:r>
          </w:p>
        </w:tc>
      </w:tr>
      <w:tr w:rsidR="007905F2" w:rsidRPr="007905F2" w14:paraId="3E2286F4" w14:textId="77777777" w:rsidTr="007905F2">
        <w:tc>
          <w:tcPr>
            <w:tcW w:w="4926" w:type="dxa"/>
          </w:tcPr>
          <w:p w14:paraId="0F1852AF" w14:textId="1B226416" w:rsidR="007905F2" w:rsidRPr="007905F2" w:rsidRDefault="007905F2" w:rsidP="007905F2">
            <w:pPr>
              <w:rPr>
                <w:rFonts w:ascii="ISOCPEUR" w:hAnsi="ISOCPEUR"/>
                <w:i/>
                <w:sz w:val="24"/>
                <w:szCs w:val="24"/>
              </w:rPr>
            </w:pPr>
          </w:p>
        </w:tc>
        <w:tc>
          <w:tcPr>
            <w:tcW w:w="4926" w:type="dxa"/>
          </w:tcPr>
          <w:p w14:paraId="3328C536" w14:textId="77777777" w:rsidR="007905F2" w:rsidRPr="007905F2" w:rsidRDefault="007905F2" w:rsidP="007905F2">
            <w:pPr>
              <w:rPr>
                <w:rFonts w:ascii="ISOCPEUR" w:hAnsi="ISOCPEUR"/>
                <w:i/>
                <w:sz w:val="24"/>
                <w:szCs w:val="24"/>
              </w:rPr>
            </w:pPr>
          </w:p>
        </w:tc>
      </w:tr>
      <w:tr w:rsidR="007905F2" w:rsidRPr="007905F2" w14:paraId="11AF386E" w14:textId="77777777" w:rsidTr="007905F2">
        <w:tc>
          <w:tcPr>
            <w:tcW w:w="4926" w:type="dxa"/>
          </w:tcPr>
          <w:p w14:paraId="3736916C" w14:textId="5B86E0C7" w:rsidR="007905F2" w:rsidRPr="007905F2" w:rsidRDefault="007905F2" w:rsidP="007905F2">
            <w:pPr>
              <w:rPr>
                <w:rFonts w:ascii="ISOCPEUR" w:hAnsi="ISOCPEUR"/>
                <w:i/>
                <w:sz w:val="24"/>
                <w:szCs w:val="24"/>
              </w:rPr>
            </w:pPr>
            <w:r w:rsidRPr="007905F2">
              <w:rPr>
                <w:i/>
                <w:noProof/>
              </w:rPr>
              <w:drawing>
                <wp:inline distT="0" distB="0" distL="0" distR="0" wp14:anchorId="606A25C1" wp14:editId="27675562">
                  <wp:extent cx="2916000" cy="1944000"/>
                  <wp:effectExtent l="38100" t="38100" r="36830" b="3746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6000" cy="1944000"/>
                          </a:xfrm>
                          <a:prstGeom prst="rect">
                            <a:avLst/>
                          </a:prstGeom>
                          <a:noFill/>
                          <a:ln w="28575">
                            <a:solidFill>
                              <a:srgbClr val="FFFFFF"/>
                            </a:solidFill>
                            <a:miter lim="800000"/>
                            <a:headEnd/>
                            <a:tailEnd/>
                          </a:ln>
                          <a:effectLst/>
                        </pic:spPr>
                      </pic:pic>
                    </a:graphicData>
                  </a:graphic>
                </wp:inline>
              </w:drawing>
            </w:r>
          </w:p>
        </w:tc>
        <w:tc>
          <w:tcPr>
            <w:tcW w:w="4926" w:type="dxa"/>
          </w:tcPr>
          <w:p w14:paraId="43759A5A" w14:textId="462AE727" w:rsidR="007905F2" w:rsidRPr="007905F2" w:rsidRDefault="007905F2" w:rsidP="007905F2">
            <w:pPr>
              <w:rPr>
                <w:rFonts w:ascii="ISOCPEUR" w:hAnsi="ISOCPEUR"/>
                <w:i/>
                <w:sz w:val="24"/>
                <w:szCs w:val="24"/>
              </w:rPr>
            </w:pPr>
            <w:r w:rsidRPr="007905F2">
              <w:rPr>
                <w:i/>
                <w:noProof/>
              </w:rPr>
              <w:drawing>
                <wp:inline distT="0" distB="0" distL="0" distR="0" wp14:anchorId="76F295D0" wp14:editId="0B0E5BB1">
                  <wp:extent cx="2916000" cy="1958846"/>
                  <wp:effectExtent l="38100" t="38100" r="36830" b="419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6000" cy="1958846"/>
                          </a:xfrm>
                          <a:prstGeom prst="rect">
                            <a:avLst/>
                          </a:prstGeom>
                          <a:noFill/>
                          <a:ln w="28575">
                            <a:solidFill>
                              <a:srgbClr val="FFFFFF"/>
                            </a:solidFill>
                            <a:miter lim="800000"/>
                            <a:headEnd/>
                            <a:tailEnd/>
                          </a:ln>
                          <a:effectLst/>
                        </pic:spPr>
                      </pic:pic>
                    </a:graphicData>
                  </a:graphic>
                </wp:inline>
              </w:drawing>
            </w:r>
          </w:p>
        </w:tc>
      </w:tr>
      <w:tr w:rsidR="007905F2" w:rsidRPr="007905F2" w14:paraId="15352036" w14:textId="77777777" w:rsidTr="007905F2">
        <w:tc>
          <w:tcPr>
            <w:tcW w:w="4926" w:type="dxa"/>
          </w:tcPr>
          <w:p w14:paraId="31A7E2E8" w14:textId="181763E5" w:rsidR="007905F2" w:rsidRPr="007905F2" w:rsidRDefault="007905F2" w:rsidP="007905F2">
            <w:pPr>
              <w:rPr>
                <w:rFonts w:ascii="ISOCPEUR" w:hAnsi="ISOCPEUR"/>
                <w:i/>
                <w:sz w:val="24"/>
                <w:szCs w:val="24"/>
              </w:rPr>
            </w:pPr>
          </w:p>
        </w:tc>
        <w:tc>
          <w:tcPr>
            <w:tcW w:w="4926" w:type="dxa"/>
          </w:tcPr>
          <w:p w14:paraId="10B89B93" w14:textId="77777777" w:rsidR="007905F2" w:rsidRPr="007905F2" w:rsidRDefault="007905F2" w:rsidP="007905F2">
            <w:pPr>
              <w:rPr>
                <w:rFonts w:ascii="ISOCPEUR" w:hAnsi="ISOCPEUR"/>
                <w:i/>
                <w:sz w:val="24"/>
                <w:szCs w:val="24"/>
              </w:rPr>
            </w:pPr>
          </w:p>
        </w:tc>
      </w:tr>
      <w:tr w:rsidR="007905F2" w:rsidRPr="007905F2" w14:paraId="0EA92363" w14:textId="77777777" w:rsidTr="007C1B6A">
        <w:tc>
          <w:tcPr>
            <w:tcW w:w="9852" w:type="dxa"/>
            <w:gridSpan w:val="2"/>
          </w:tcPr>
          <w:p w14:paraId="5521D9B0" w14:textId="60773894" w:rsidR="007905F2" w:rsidRPr="007905F2" w:rsidRDefault="007905F2" w:rsidP="007905F2">
            <w:pPr>
              <w:jc w:val="center"/>
              <w:rPr>
                <w:rFonts w:ascii="ISOCPEUR" w:hAnsi="ISOCPEUR"/>
                <w:i/>
                <w:sz w:val="24"/>
                <w:szCs w:val="24"/>
              </w:rPr>
            </w:pPr>
            <w:r w:rsidRPr="007905F2">
              <w:rPr>
                <w:rFonts w:ascii="ISOCPEUR" w:hAnsi="ISOCPEUR"/>
                <w:i/>
                <w:sz w:val="24"/>
                <w:szCs w:val="22"/>
                <w:lang w:val="lv-LV" w:eastAsia="en-US"/>
              </w:rPr>
              <w:t>Koksnes plaisu un savienojuma vietu aizpildīšana ar ‘’Histolith Sanopas-Holzrisspaste’’</w:t>
            </w:r>
          </w:p>
        </w:tc>
      </w:tr>
      <w:tr w:rsidR="007905F2" w:rsidRPr="007905F2" w14:paraId="4005253F" w14:textId="77777777" w:rsidTr="007C37FB">
        <w:tc>
          <w:tcPr>
            <w:tcW w:w="4926" w:type="dxa"/>
            <w:vAlign w:val="center"/>
          </w:tcPr>
          <w:p w14:paraId="09BF3667" w14:textId="07E9BC3F" w:rsidR="007905F2" w:rsidRPr="007905F2" w:rsidRDefault="007C37FB" w:rsidP="007C37FB">
            <w:pPr>
              <w:jc w:val="center"/>
              <w:rPr>
                <w:rFonts w:ascii="ISOCPEUR" w:hAnsi="ISOCPEUR"/>
                <w:i/>
                <w:sz w:val="24"/>
                <w:szCs w:val="24"/>
              </w:rPr>
            </w:pPr>
            <w:r w:rsidRPr="007905F2">
              <w:rPr>
                <w:i/>
                <w:noProof/>
              </w:rPr>
              <w:drawing>
                <wp:inline distT="0" distB="0" distL="0" distR="0" wp14:anchorId="2CE76A98" wp14:editId="44F11B6A">
                  <wp:extent cx="1341120" cy="1350645"/>
                  <wp:effectExtent l="0" t="0" r="0" b="1905"/>
                  <wp:docPr id="14" name="Рисунок 14" descr="Attēlu rezultāti vaicājumam “Histolith Sanopas-Holzrissp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Histolith Sanopas-Holzrisspas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41120" cy="1350645"/>
                          </a:xfrm>
                          <a:prstGeom prst="rect">
                            <a:avLst/>
                          </a:prstGeom>
                          <a:noFill/>
                          <a:ln>
                            <a:noFill/>
                          </a:ln>
                        </pic:spPr>
                      </pic:pic>
                    </a:graphicData>
                  </a:graphic>
                </wp:inline>
              </w:drawing>
            </w:r>
          </w:p>
        </w:tc>
        <w:tc>
          <w:tcPr>
            <w:tcW w:w="4926" w:type="dxa"/>
          </w:tcPr>
          <w:p w14:paraId="0796D20E" w14:textId="3B35FAA6" w:rsidR="007905F2" w:rsidRPr="007905F2" w:rsidRDefault="007C37FB" w:rsidP="007905F2">
            <w:pPr>
              <w:rPr>
                <w:rFonts w:ascii="ISOCPEUR" w:hAnsi="ISOCPEUR"/>
                <w:i/>
                <w:sz w:val="24"/>
                <w:szCs w:val="24"/>
              </w:rPr>
            </w:pPr>
            <w:r w:rsidRPr="007905F2">
              <w:rPr>
                <w:i/>
                <w:noProof/>
              </w:rPr>
              <mc:AlternateContent>
                <mc:Choice Requires="wps">
                  <w:drawing>
                    <wp:anchor distT="0" distB="0" distL="114300" distR="114300" simplePos="0" relativeHeight="251663360" behindDoc="0" locked="0" layoutInCell="1" allowOverlap="1" wp14:anchorId="608AF7A0" wp14:editId="00D34079">
                      <wp:simplePos x="0" y="0"/>
                      <wp:positionH relativeFrom="column">
                        <wp:posOffset>-1145247</wp:posOffset>
                      </wp:positionH>
                      <wp:positionV relativeFrom="paragraph">
                        <wp:posOffset>1456495</wp:posOffset>
                      </wp:positionV>
                      <wp:extent cx="2918314" cy="188888"/>
                      <wp:effectExtent l="0" t="19050" r="34925" b="40005"/>
                      <wp:wrapNone/>
                      <wp:docPr id="13" name="Стрелка: вправо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8314" cy="188888"/>
                              </a:xfrm>
                              <a:prstGeom prst="rightArrow">
                                <a:avLst>
                                  <a:gd name="adj1" fmla="val 50000"/>
                                  <a:gd name="adj2" fmla="val 500874"/>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4134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3" o:spid="_x0000_s1026" type="#_x0000_t13" style="position:absolute;margin-left:-90.2pt;margin-top:114.7pt;width:229.8pt;height:1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" adj="14597" fillcolor="red"/>
                  </w:pict>
                </mc:Fallback>
              </mc:AlternateContent>
            </w:r>
            <w:r w:rsidRPr="007905F2">
              <w:rPr>
                <w:i/>
                <w:noProof/>
              </w:rPr>
              <w:drawing>
                <wp:inline distT="0" distB="0" distL="0" distR="0" wp14:anchorId="39F59002" wp14:editId="37666C7C">
                  <wp:extent cx="2916000" cy="3155097"/>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r="365" b="19284"/>
                          <a:stretch>
                            <a:fillRect/>
                          </a:stretch>
                        </pic:blipFill>
                        <pic:spPr bwMode="auto">
                          <a:xfrm>
                            <a:off x="0" y="0"/>
                            <a:ext cx="2916000" cy="3155097"/>
                          </a:xfrm>
                          <a:prstGeom prst="rect">
                            <a:avLst/>
                          </a:prstGeom>
                          <a:noFill/>
                          <a:ln>
                            <a:noFill/>
                          </a:ln>
                        </pic:spPr>
                      </pic:pic>
                    </a:graphicData>
                  </a:graphic>
                </wp:inline>
              </w:drawing>
            </w:r>
          </w:p>
        </w:tc>
      </w:tr>
      <w:tr w:rsidR="007905F2" w:rsidRPr="007905F2" w14:paraId="6F049427" w14:textId="77777777" w:rsidTr="007C37FB">
        <w:tc>
          <w:tcPr>
            <w:tcW w:w="4926" w:type="dxa"/>
            <w:vAlign w:val="center"/>
          </w:tcPr>
          <w:p w14:paraId="2072CAA4" w14:textId="68830DC4" w:rsidR="007905F2" w:rsidRPr="007905F2" w:rsidRDefault="007905F2" w:rsidP="007C37FB">
            <w:pPr>
              <w:jc w:val="center"/>
              <w:rPr>
                <w:rFonts w:ascii="ISOCPEUR" w:hAnsi="ISOCPEUR"/>
                <w:i/>
                <w:sz w:val="24"/>
                <w:szCs w:val="24"/>
              </w:rPr>
            </w:pPr>
          </w:p>
        </w:tc>
        <w:tc>
          <w:tcPr>
            <w:tcW w:w="4926" w:type="dxa"/>
          </w:tcPr>
          <w:p w14:paraId="6ED4A681" w14:textId="5C506F46" w:rsidR="007905F2" w:rsidRPr="007905F2" w:rsidRDefault="007905F2" w:rsidP="007905F2">
            <w:pPr>
              <w:rPr>
                <w:rFonts w:ascii="ISOCPEUR" w:hAnsi="ISOCPEUR"/>
                <w:i/>
                <w:sz w:val="24"/>
                <w:szCs w:val="24"/>
              </w:rPr>
            </w:pPr>
          </w:p>
        </w:tc>
      </w:tr>
    </w:tbl>
    <w:p w14:paraId="52469772" w14:textId="77777777" w:rsidR="007905F2" w:rsidRPr="007905F2" w:rsidRDefault="007905F2" w:rsidP="007905F2">
      <w:pPr>
        <w:ind w:firstLine="567"/>
        <w:rPr>
          <w:i/>
        </w:rPr>
      </w:pPr>
      <w:r w:rsidRPr="007905F2">
        <w:rPr>
          <w:i/>
        </w:rPr>
        <w:t>Pamatnes sagatavošana</w:t>
      </w:r>
    </w:p>
    <w:p w14:paraId="792CD231" w14:textId="435D0D57" w:rsidR="007905F2" w:rsidRPr="007905F2" w:rsidRDefault="007905F2" w:rsidP="007905F2">
      <w:pPr>
        <w:ind w:firstLine="567"/>
        <w:rPr>
          <w:i/>
        </w:rPr>
      </w:pPr>
      <w:r w:rsidRPr="007905F2">
        <w:rPr>
          <w:i/>
        </w:rPr>
        <w:t>Noņemt bojāto koksni un mehāniski notīrīt plaisu malas. Plaisu malas gruntēt ar lineļļas puspernicu Histolith Halböl vai Capalac Holtz-Impregniergundierung (ja ir pelējuma risks).</w:t>
      </w:r>
    </w:p>
    <w:p w14:paraId="4788A394" w14:textId="77777777" w:rsidR="007905F2" w:rsidRPr="007905F2" w:rsidRDefault="007905F2" w:rsidP="007905F2">
      <w:pPr>
        <w:ind w:firstLine="567"/>
        <w:rPr>
          <w:i/>
        </w:rPr>
      </w:pPr>
      <w:r w:rsidRPr="007905F2">
        <w:rPr>
          <w:i/>
        </w:rPr>
        <w:t>Iestrāde:</w:t>
      </w:r>
    </w:p>
    <w:p w14:paraId="0765D5F3" w14:textId="16B683B1" w:rsidR="007905F2" w:rsidRDefault="007905F2" w:rsidP="005F339F">
      <w:pPr>
        <w:ind w:firstLine="567"/>
        <w:rPr>
          <w:i/>
        </w:rPr>
      </w:pPr>
      <w:r w:rsidRPr="007905F2">
        <w:rPr>
          <w:i/>
        </w:rPr>
        <w:t>Pirms lietošanas labi samaisīt. Materiālu bagātīgi iepildīt plaisā vai iedobē vienā līmenī ar virsmu, izmantojot šauru špakteli vai manuāli darbināmu šļirci. Lieko materiālu noņemt ar špakteli, izlīdzinot vienā līmenī ar virsmu un atstājot tīras malas. Ja plaisas vai iedobes ir platākas par 1 cm, iepildītajā špakteļtepē ir papildus jāiespiež piemērots sauss koka gabals.</w:t>
      </w:r>
    </w:p>
    <w:sectPr w:rsidR="007905F2" w:rsidSect="003F743E">
      <w:headerReference w:type="even" r:id="rId18"/>
      <w:headerReference w:type="default" r:id="rId19"/>
      <w:footerReference w:type="even" r:id="rId20"/>
      <w:footerReference w:type="default" r:id="rId21"/>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B956F" w14:textId="77777777" w:rsidR="006D0CB2" w:rsidRDefault="006D0CB2">
      <w:r>
        <w:separator/>
      </w:r>
    </w:p>
  </w:endnote>
  <w:endnote w:type="continuationSeparator" w:id="0">
    <w:p w14:paraId="202E8117" w14:textId="77777777" w:rsidR="006D0CB2" w:rsidRDefault="006D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CC"/>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83511F"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83511F" w:rsidRDefault="0083511F"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83511F" w:rsidRDefault="0083511F"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BED04" w14:textId="77777777" w:rsidR="006D0CB2" w:rsidRDefault="006D0CB2">
      <w:r>
        <w:separator/>
      </w:r>
    </w:p>
  </w:footnote>
  <w:footnote w:type="continuationSeparator" w:id="0">
    <w:p w14:paraId="66FD8C99" w14:textId="77777777" w:rsidR="006D0CB2" w:rsidRDefault="006D0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83511F"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83511F" w:rsidRDefault="0083511F"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83511F"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w:t>
    </w:r>
    <w:r>
      <w:rPr>
        <w:rStyle w:val="a9"/>
        <w:rFonts w:ascii="ISOCPEUR" w:hAnsi="ISOCPEUR"/>
        <w:i/>
        <w:noProof/>
      </w:rPr>
      <w:t>1</w:t>
    </w:r>
    <w:r w:rsidRPr="00E033ED">
      <w:rPr>
        <w:rStyle w:val="a9"/>
        <w:rFonts w:ascii="ISOCPEUR" w:hAnsi="ISOCPEUR"/>
        <w:i/>
      </w:rPr>
      <w:fldChar w:fldCharType="end"/>
    </w:r>
  </w:p>
  <w:p w14:paraId="52292828" w14:textId="1F85A823" w:rsidR="0083511F"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07748"/>
    <w:multiLevelType w:val="hybridMultilevel"/>
    <w:tmpl w:val="872E94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3BB624B"/>
    <w:multiLevelType w:val="hybridMultilevel"/>
    <w:tmpl w:val="2E9EAC3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6"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46079352">
    <w:abstractNumId w:val="5"/>
  </w:num>
  <w:num w:numId="2" w16cid:durableId="1360162849">
    <w:abstractNumId w:val="17"/>
  </w:num>
  <w:num w:numId="3" w16cid:durableId="976566095">
    <w:abstractNumId w:val="9"/>
  </w:num>
  <w:num w:numId="4" w16cid:durableId="755903251">
    <w:abstractNumId w:val="1"/>
  </w:num>
  <w:num w:numId="5" w16cid:durableId="40324754">
    <w:abstractNumId w:val="12"/>
  </w:num>
  <w:num w:numId="6" w16cid:durableId="499123711">
    <w:abstractNumId w:val="7"/>
  </w:num>
  <w:num w:numId="7" w16cid:durableId="687951276">
    <w:abstractNumId w:val="21"/>
  </w:num>
  <w:num w:numId="8" w16cid:durableId="1440487519">
    <w:abstractNumId w:val="16"/>
  </w:num>
  <w:num w:numId="9" w16cid:durableId="295793275">
    <w:abstractNumId w:val="11"/>
  </w:num>
  <w:num w:numId="10" w16cid:durableId="2018464063">
    <w:abstractNumId w:val="20"/>
  </w:num>
  <w:num w:numId="11" w16cid:durableId="210459496">
    <w:abstractNumId w:val="10"/>
  </w:num>
  <w:num w:numId="12" w16cid:durableId="1730885566">
    <w:abstractNumId w:val="0"/>
  </w:num>
  <w:num w:numId="13" w16cid:durableId="787823436">
    <w:abstractNumId w:val="3"/>
  </w:num>
  <w:num w:numId="14" w16cid:durableId="1861579674">
    <w:abstractNumId w:val="6"/>
  </w:num>
  <w:num w:numId="15" w16cid:durableId="1261641073">
    <w:abstractNumId w:val="8"/>
  </w:num>
  <w:num w:numId="16" w16cid:durableId="2136440647">
    <w:abstractNumId w:val="14"/>
  </w:num>
  <w:num w:numId="17" w16cid:durableId="68236194">
    <w:abstractNumId w:val="15"/>
  </w:num>
  <w:num w:numId="18" w16cid:durableId="1712194960">
    <w:abstractNumId w:val="18"/>
  </w:num>
  <w:num w:numId="19" w16cid:durableId="1753695453">
    <w:abstractNumId w:val="19"/>
  </w:num>
  <w:num w:numId="20" w16cid:durableId="1812557932">
    <w:abstractNumId w:val="4"/>
  </w:num>
  <w:num w:numId="21" w16cid:durableId="206527603">
    <w:abstractNumId w:val="2"/>
  </w:num>
  <w:num w:numId="22" w16cid:durableId="18620913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342CF"/>
    <w:rsid w:val="001121F7"/>
    <w:rsid w:val="00127DD4"/>
    <w:rsid w:val="001F5B72"/>
    <w:rsid w:val="002247A4"/>
    <w:rsid w:val="002809BE"/>
    <w:rsid w:val="0029744F"/>
    <w:rsid w:val="003A4C42"/>
    <w:rsid w:val="003F1011"/>
    <w:rsid w:val="00434325"/>
    <w:rsid w:val="004526B0"/>
    <w:rsid w:val="00461CE1"/>
    <w:rsid w:val="00556666"/>
    <w:rsid w:val="005F339F"/>
    <w:rsid w:val="00656318"/>
    <w:rsid w:val="0068788C"/>
    <w:rsid w:val="006D0CB2"/>
    <w:rsid w:val="006E7EDE"/>
    <w:rsid w:val="0074479C"/>
    <w:rsid w:val="007905F2"/>
    <w:rsid w:val="007C37FB"/>
    <w:rsid w:val="007D4F4E"/>
    <w:rsid w:val="0083511F"/>
    <w:rsid w:val="0083787E"/>
    <w:rsid w:val="00861405"/>
    <w:rsid w:val="00880D84"/>
    <w:rsid w:val="00957B0B"/>
    <w:rsid w:val="009B6890"/>
    <w:rsid w:val="00A1103B"/>
    <w:rsid w:val="00A83C30"/>
    <w:rsid w:val="00A95F90"/>
    <w:rsid w:val="00AD0ADE"/>
    <w:rsid w:val="00B357C5"/>
    <w:rsid w:val="00B663BE"/>
    <w:rsid w:val="00BF4A3F"/>
    <w:rsid w:val="00C51033"/>
    <w:rsid w:val="00C974FF"/>
    <w:rsid w:val="00CE5375"/>
    <w:rsid w:val="00D65FCB"/>
    <w:rsid w:val="00DE050B"/>
    <w:rsid w:val="00EE5D7D"/>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5F339F"/>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uiPriority w:val="99"/>
    <w:rsid w:val="00C974FF"/>
    <w:rPr>
      <w:sz w:val="16"/>
      <w:szCs w:val="16"/>
    </w:rPr>
  </w:style>
  <w:style w:type="paragraph" w:styleId="af0">
    <w:name w:val="annotation text"/>
    <w:basedOn w:val="a"/>
    <w:link w:val="af1"/>
    <w:uiPriority w:val="99"/>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uiPriority w:val="99"/>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30">
    <w:name w:val="Заголовок 3 Знак"/>
    <w:basedOn w:val="a0"/>
    <w:link w:val="3"/>
    <w:uiPriority w:val="9"/>
    <w:semiHidden/>
    <w:rsid w:val="005F339F"/>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5F339F"/>
    <w:rPr>
      <w:sz w:val="20"/>
      <w:szCs w:val="20"/>
    </w:rPr>
  </w:style>
  <w:style w:type="character" w:customStyle="1" w:styleId="af5">
    <w:name w:val="Текст сноски Знак"/>
    <w:basedOn w:val="a0"/>
    <w:link w:val="af4"/>
    <w:uiPriority w:val="99"/>
    <w:semiHidden/>
    <w:rsid w:val="005F339F"/>
    <w:rPr>
      <w:sz w:val="20"/>
      <w:szCs w:val="20"/>
    </w:rPr>
  </w:style>
  <w:style w:type="character" w:styleId="af6">
    <w:name w:val="footnote reference"/>
    <w:basedOn w:val="a0"/>
    <w:uiPriority w:val="99"/>
    <w:semiHidden/>
    <w:unhideWhenUsed/>
    <w:rsid w:val="005F33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E6DFC-AE21-4B60-8431-DEA1DCDF4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562</Words>
  <Characters>3206</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7</cp:revision>
  <dcterms:created xsi:type="dcterms:W3CDTF">2021-04-23T20:25:00Z</dcterms:created>
  <dcterms:modified xsi:type="dcterms:W3CDTF">2024-05-31T22:22:00Z</dcterms:modified>
</cp:coreProperties>
</file>