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E39D4" w14:textId="070DB3CE" w:rsidR="00586F63" w:rsidRDefault="00244B65" w:rsidP="00586F63">
      <w:pPr>
        <w:tabs>
          <w:tab w:val="left" w:pos="4962"/>
        </w:tabs>
        <w:ind w:firstLine="567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BETONA </w:t>
      </w:r>
      <w:r w:rsidR="00586F63">
        <w:rPr>
          <w:i/>
          <w:iCs/>
          <w:szCs w:val="24"/>
        </w:rPr>
        <w:t>DARBI</w:t>
      </w:r>
    </w:p>
    <w:p w14:paraId="6180EC88" w14:textId="77777777" w:rsidR="00C974FF" w:rsidRDefault="00C974FF" w:rsidP="0029744F">
      <w:pPr>
        <w:tabs>
          <w:tab w:val="left" w:pos="4962"/>
        </w:tabs>
        <w:ind w:firstLine="567"/>
        <w:rPr>
          <w:rFonts w:ascii="Times New Roman" w:hAnsi="Times New Roman"/>
          <w:sz w:val="32"/>
          <w:szCs w:val="32"/>
        </w:rPr>
      </w:pPr>
    </w:p>
    <w:p w14:paraId="29FF0123" w14:textId="77777777" w:rsidR="00C974FF" w:rsidRDefault="00C974FF" w:rsidP="0029744F">
      <w:pPr>
        <w:tabs>
          <w:tab w:val="left" w:pos="4962"/>
        </w:tabs>
        <w:ind w:firstLine="567"/>
        <w:rPr>
          <w:rFonts w:ascii="Times New Roman" w:hAnsi="Times New Roman"/>
          <w:sz w:val="32"/>
          <w:szCs w:val="32"/>
        </w:rPr>
      </w:pPr>
    </w:p>
    <w:p w14:paraId="36DB6C7D" w14:textId="77777777" w:rsidR="00C974FF" w:rsidRDefault="00C974FF" w:rsidP="0029744F">
      <w:pPr>
        <w:tabs>
          <w:tab w:val="left" w:pos="4962"/>
        </w:tabs>
        <w:ind w:firstLine="567"/>
        <w:rPr>
          <w:rFonts w:ascii="Times New Roman" w:hAnsi="Times New Roman"/>
          <w:sz w:val="32"/>
          <w:szCs w:val="32"/>
        </w:rPr>
      </w:pPr>
    </w:p>
    <w:p w14:paraId="1ADDC9E9" w14:textId="77777777" w:rsidR="00C974FF" w:rsidRDefault="00C974FF" w:rsidP="0029744F">
      <w:pPr>
        <w:tabs>
          <w:tab w:val="left" w:pos="5529"/>
        </w:tabs>
        <w:ind w:left="1134" w:firstLine="567"/>
        <w:rPr>
          <w:rFonts w:ascii="Times New Roman" w:hAnsi="Times New Roman"/>
          <w:sz w:val="32"/>
          <w:szCs w:val="32"/>
        </w:rPr>
      </w:pPr>
    </w:p>
    <w:p w14:paraId="4997A298" w14:textId="77777777" w:rsidR="00C974FF" w:rsidRPr="00D04603" w:rsidRDefault="00C974FF" w:rsidP="0029744F">
      <w:pPr>
        <w:tabs>
          <w:tab w:val="left" w:pos="4536"/>
        </w:tabs>
        <w:ind w:left="1134" w:firstLine="567"/>
        <w:jc w:val="center"/>
        <w:rPr>
          <w:rFonts w:ascii="Times New Roman" w:hAnsi="Times New Roman"/>
          <w:szCs w:val="24"/>
        </w:rPr>
      </w:pPr>
      <w:r w:rsidRPr="00D04603">
        <w:rPr>
          <w:rFonts w:ascii="Times New Roman" w:hAnsi="Times New Roman"/>
          <w:szCs w:val="24"/>
        </w:rPr>
        <w:t>.</w:t>
      </w:r>
    </w:p>
    <w:p w14:paraId="66DE0B85" w14:textId="77777777" w:rsidR="00C51033" w:rsidRDefault="00C51033" w:rsidP="0029744F">
      <w:pPr>
        <w:spacing w:line="360" w:lineRule="auto"/>
        <w:ind w:firstLine="567"/>
        <w:jc w:val="center"/>
        <w:rPr>
          <w:i/>
        </w:rPr>
      </w:pPr>
    </w:p>
    <w:p w14:paraId="406AFE4A" w14:textId="77777777" w:rsidR="00C51033" w:rsidRPr="00C51033" w:rsidRDefault="00C51033" w:rsidP="00C51033">
      <w:pPr>
        <w:rPr>
          <w:szCs w:val="24"/>
        </w:rPr>
      </w:pPr>
    </w:p>
    <w:p w14:paraId="1646CEC2" w14:textId="77777777" w:rsidR="00C51033" w:rsidRDefault="00C51033" w:rsidP="0029744F">
      <w:pPr>
        <w:spacing w:line="360" w:lineRule="auto"/>
        <w:ind w:firstLine="567"/>
        <w:jc w:val="center"/>
        <w:rPr>
          <w:i/>
        </w:rPr>
      </w:pPr>
    </w:p>
    <w:p w14:paraId="6D8F455F" w14:textId="60E479CD" w:rsidR="00C51033" w:rsidRDefault="00C51033" w:rsidP="00C51033">
      <w:pPr>
        <w:tabs>
          <w:tab w:val="left" w:pos="6435"/>
        </w:tabs>
        <w:spacing w:line="360" w:lineRule="auto"/>
        <w:ind w:firstLine="567"/>
        <w:rPr>
          <w:i/>
        </w:rPr>
      </w:pPr>
      <w:r>
        <w:rPr>
          <w:i/>
        </w:rPr>
        <w:tab/>
      </w:r>
    </w:p>
    <w:p w14:paraId="4D37398D" w14:textId="0ADE8F0E" w:rsidR="00C974FF" w:rsidRDefault="00C974FF" w:rsidP="004D29E6">
      <w:pPr>
        <w:spacing w:line="360" w:lineRule="auto"/>
        <w:jc w:val="center"/>
        <w:rPr>
          <w:i/>
        </w:rPr>
      </w:pPr>
      <w:r w:rsidRPr="00C51033">
        <w:rPr>
          <w:szCs w:val="24"/>
        </w:rPr>
        <w:br w:type="page"/>
      </w:r>
      <w:r w:rsidR="00244B65">
        <w:rPr>
          <w:i/>
        </w:rPr>
        <w:lastRenderedPageBreak/>
        <w:t>S</w:t>
      </w:r>
      <w:r w:rsidR="00A83C30">
        <w:rPr>
          <w:i/>
        </w:rPr>
        <w:t>KAIDROJO</w:t>
      </w:r>
      <w:r w:rsidR="00FE5240">
        <w:rPr>
          <w:i/>
        </w:rPr>
        <w:t>ŠAIS APRAKSTS</w:t>
      </w:r>
    </w:p>
    <w:p w14:paraId="5E866C2A" w14:textId="010CFFC0" w:rsidR="00244B65" w:rsidRDefault="00244B65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 w:rsidRPr="00244B65">
        <w:rPr>
          <w:rFonts w:ascii="ISOCPEUR" w:hAnsi="ISOCPEUR"/>
          <w:i/>
        </w:rPr>
        <w:t xml:space="preserve">Dzelzsbetona konstrukciju </w:t>
      </w:r>
      <w:r w:rsidR="00F94DC5">
        <w:rPr>
          <w:rFonts w:ascii="ISOCPEUR" w:hAnsi="ISOCPEUR"/>
          <w:i/>
        </w:rPr>
        <w:t>atjaunošanas (remonta) sastāvi, stiegrojuma pretkorozijas apstrādes materiāli un sistēmas, labošanas darbu tehnoloģija atbilst EN 1504 standartu grupai.</w:t>
      </w:r>
      <w:r w:rsidRPr="00244B65">
        <w:rPr>
          <w:rFonts w:ascii="ISOCPEUR" w:hAnsi="ISOCPEUR"/>
          <w:i/>
        </w:rPr>
        <w:t xml:space="preserve"> Visu konstruktīvo elementu parametriem (izmēriem, attālumiem, augstumu atzīmēm</w:t>
      </w:r>
      <w:r w:rsidR="00F94DC5">
        <w:rPr>
          <w:rFonts w:ascii="ISOCPEUR" w:hAnsi="ISOCPEUR"/>
          <w:i/>
        </w:rPr>
        <w:t>, stiprībai (ja nav saskaņotas atkāpes)</w:t>
      </w:r>
      <w:r w:rsidRPr="00244B65">
        <w:rPr>
          <w:rFonts w:ascii="ISOCPEUR" w:hAnsi="ISOCPEUR"/>
          <w:i/>
        </w:rPr>
        <w:t xml:space="preserve"> utt.) </w:t>
      </w:r>
      <w:r w:rsidR="00F94DC5">
        <w:rPr>
          <w:rFonts w:ascii="ISOCPEUR" w:hAnsi="ISOCPEUR"/>
          <w:i/>
        </w:rPr>
        <w:t xml:space="preserve">pēc labošanas darbu veikšanas ir </w:t>
      </w:r>
      <w:r w:rsidRPr="00244B65">
        <w:rPr>
          <w:rFonts w:ascii="ISOCPEUR" w:hAnsi="ISOCPEUR"/>
          <w:i/>
        </w:rPr>
        <w:t xml:space="preserve">jāatbilst </w:t>
      </w:r>
      <w:r w:rsidR="00F94DC5">
        <w:rPr>
          <w:rFonts w:ascii="ISOCPEUR" w:hAnsi="ISOCPEUR"/>
          <w:i/>
        </w:rPr>
        <w:t>būv</w:t>
      </w:r>
      <w:r w:rsidRPr="00244B65">
        <w:rPr>
          <w:rFonts w:ascii="ISOCPEUR" w:hAnsi="ISOCPEUR"/>
          <w:i/>
        </w:rPr>
        <w:t xml:space="preserve">projekta prasībām. Atkāpes nedrīkst pārsniegt pieļaujamās normas, kas ir noteiktas LVS EN 1992 “2.Eirokodekss. Betona konstrukciju projektēšana”. Ja atkāpes pārsniedz pieļaujamās normas tad pasākumi, lai to novērstu jāsaskaņo ar </w:t>
      </w:r>
      <w:proofErr w:type="spellStart"/>
      <w:r>
        <w:rPr>
          <w:rFonts w:ascii="ISOCPEUR" w:hAnsi="ISOCPEUR"/>
          <w:i/>
        </w:rPr>
        <w:t>Autoruzraugu</w:t>
      </w:r>
      <w:proofErr w:type="spellEnd"/>
      <w:r w:rsidRPr="00244B65">
        <w:rPr>
          <w:rFonts w:ascii="ISOCPEUR" w:hAnsi="ISOCPEUR"/>
          <w:i/>
        </w:rPr>
        <w:t xml:space="preserve">. </w:t>
      </w:r>
    </w:p>
    <w:p w14:paraId="7244CB78" w14:textId="3744CBF7" w:rsidR="00114F2F" w:rsidRDefault="00114F2F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Būvdarbu izpildes klase </w:t>
      </w:r>
      <w:r w:rsidR="00F94DC5">
        <w:rPr>
          <w:rFonts w:ascii="ISOCPEUR" w:hAnsi="ISOCPEUR"/>
          <w:i/>
        </w:rPr>
        <w:t>(</w:t>
      </w:r>
      <w:r>
        <w:rPr>
          <w:rFonts w:ascii="ISOCPEUR" w:hAnsi="ISOCPEUR"/>
          <w:i/>
        </w:rPr>
        <w:t xml:space="preserve">atbilstoši </w:t>
      </w:r>
      <w:r w:rsidRPr="00114F2F">
        <w:rPr>
          <w:rFonts w:ascii="ISOCPEUR" w:hAnsi="ISOCPEUR"/>
          <w:i/>
        </w:rPr>
        <w:t>LVS EN 13670:2012 L Betona konstrukciju izgatavošana.</w:t>
      </w:r>
      <w:r w:rsidR="00F41CF9">
        <w:rPr>
          <w:rFonts w:ascii="ISOCPEUR" w:hAnsi="ISOCPEUR"/>
          <w:i/>
        </w:rPr>
        <w:t xml:space="preserve"> (turpmāk - </w:t>
      </w:r>
      <w:r w:rsidR="00F41CF9" w:rsidRPr="00F41CF9">
        <w:rPr>
          <w:rFonts w:ascii="ISOCPEUR" w:hAnsi="ISOCPEUR"/>
          <w:i/>
        </w:rPr>
        <w:t>LVS EN 13670:2012 L</w:t>
      </w:r>
      <w:r w:rsidR="00F41CF9">
        <w:rPr>
          <w:rFonts w:ascii="ISOCPEUR" w:hAnsi="ISOCPEUR"/>
          <w:i/>
        </w:rPr>
        <w:t>)</w:t>
      </w:r>
      <w:r w:rsidR="00F94DC5">
        <w:rPr>
          <w:rFonts w:ascii="ISOCPEUR" w:hAnsi="ISOCPEUR"/>
          <w:i/>
        </w:rPr>
        <w:t>,</w:t>
      </w:r>
      <w:r>
        <w:rPr>
          <w:rFonts w:ascii="ISOCPEUR" w:hAnsi="ISOCPEUR"/>
          <w:i/>
        </w:rPr>
        <w:t xml:space="preserve"> </w:t>
      </w:r>
      <w:r w:rsidR="00F94DC5">
        <w:rPr>
          <w:rFonts w:ascii="ISOCPEUR" w:hAnsi="ISOCPEUR"/>
          <w:i/>
        </w:rPr>
        <w:t>konstrukciju pielaides klase ģeometriskajām pielaidēm un</w:t>
      </w:r>
      <w:r w:rsidR="009821E3" w:rsidRPr="009821E3">
        <w:rPr>
          <w:rFonts w:ascii="ISOCPEUR" w:hAnsi="ISOCPEUR"/>
          <w:i/>
        </w:rPr>
        <w:t xml:space="preserve"> būvdarbu izpildes klase</w:t>
      </w:r>
      <w:r w:rsidR="00F94DC5">
        <w:rPr>
          <w:rFonts w:ascii="ISOCPEUR" w:hAnsi="ISOCPEUR"/>
          <w:i/>
        </w:rPr>
        <w:t xml:space="preserve"> ir noteiktas DVP Betona darbi</w:t>
      </w:r>
      <w:r w:rsidR="009821E3" w:rsidRPr="009821E3">
        <w:rPr>
          <w:rFonts w:ascii="ISOCPEUR" w:hAnsi="ISOCPEUR"/>
          <w:i/>
        </w:rPr>
        <w:t>.</w:t>
      </w:r>
    </w:p>
    <w:p w14:paraId="11BF9B3A" w14:textId="300F069C" w:rsidR="00D54A11" w:rsidRDefault="00F94DC5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 w:rsidRPr="00244B65">
        <w:rPr>
          <w:rFonts w:ascii="ISOCPEUR" w:hAnsi="ISOCPEUR"/>
          <w:i/>
        </w:rPr>
        <w:t xml:space="preserve">Dzelzsbetona konstrukciju </w:t>
      </w:r>
      <w:r>
        <w:rPr>
          <w:rFonts w:ascii="ISOCPEUR" w:hAnsi="ISOCPEUR"/>
          <w:i/>
        </w:rPr>
        <w:t xml:space="preserve">atjaunošanas </w:t>
      </w:r>
      <w:r w:rsidR="00244B65" w:rsidRPr="00244B65">
        <w:rPr>
          <w:rFonts w:ascii="ISOCPEUR" w:hAnsi="ISOCPEUR"/>
          <w:i/>
        </w:rPr>
        <w:t xml:space="preserve">darbi ir paredzēti gada siltajā periodā, kad gaisa temperatūra ir lielāka par +5°C. </w:t>
      </w:r>
    </w:p>
    <w:p w14:paraId="4B9EBDF3" w14:textId="0B43C3D0" w:rsidR="00F94DC5" w:rsidRDefault="004E67F1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Piešķirtais raupjums (noņemams </w:t>
      </w:r>
      <w:proofErr w:type="spellStart"/>
      <w:r>
        <w:rPr>
          <w:rFonts w:ascii="ISOCPEUR" w:hAnsi="ISOCPEUR"/>
          <w:i/>
        </w:rPr>
        <w:t>remontvirsmas</w:t>
      </w:r>
      <w:proofErr w:type="spellEnd"/>
      <w:r>
        <w:rPr>
          <w:rFonts w:ascii="ISOCPEUR" w:hAnsi="ISOCPEUR"/>
          <w:i/>
        </w:rPr>
        <w:t xml:space="preserve"> materiāla slāņa biezums) ir x</w:t>
      </w:r>
      <w:r>
        <w:rPr>
          <w:rStyle w:val="af7"/>
          <w:rFonts w:ascii="ISOCPEUR" w:hAnsi="ISOCPEUR"/>
          <w:i/>
        </w:rPr>
        <w:footnoteReference w:id="1"/>
      </w:r>
      <w:r>
        <w:rPr>
          <w:rFonts w:ascii="ISOCPEUR" w:hAnsi="ISOCPEUR"/>
          <w:i/>
        </w:rPr>
        <w:t xml:space="preserve"> mm.</w:t>
      </w:r>
    </w:p>
    <w:p w14:paraId="474F93C5" w14:textId="5A395550" w:rsidR="00FA3397" w:rsidRDefault="00FA3397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Princips un metode, kas attiecas uz betona bojājumu</w:t>
      </w:r>
      <w:r>
        <w:rPr>
          <w:rStyle w:val="af7"/>
          <w:rFonts w:ascii="ISOCPEUR" w:hAnsi="ISOCPEUR"/>
          <w:i/>
        </w:rPr>
        <w:footnoteReference w:id="2"/>
      </w:r>
      <w:r>
        <w:rPr>
          <w:rFonts w:ascii="ISOCPEUR" w:hAnsi="ISOCPEUR"/>
          <w:i/>
        </w:rPr>
        <w:t>: Princips x [XX].</w:t>
      </w:r>
    </w:p>
    <w:p w14:paraId="3C1678EC" w14:textId="140E3F2D" w:rsidR="00036D8D" w:rsidRDefault="00036D8D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Ar izvēlētu principu un metodi saistīta </w:t>
      </w:r>
    </w:p>
    <w:p w14:paraId="194D4D79" w14:textId="225D8F4A" w:rsidR="00036D8D" w:rsidRDefault="00036D8D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sagatavošana</w:t>
      </w:r>
    </w:p>
    <w:p w14:paraId="3A785BF2" w14:textId="42BB746C" w:rsidR="00036D8D" w:rsidRDefault="00036D8D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pielietošana</w:t>
      </w:r>
    </w:p>
    <w:p w14:paraId="1B173451" w14:textId="10E0EB98" w:rsidR="00036D8D" w:rsidRDefault="00036D8D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kvalitātes kontrole</w:t>
      </w:r>
      <w:r>
        <w:rPr>
          <w:rStyle w:val="af7"/>
          <w:rFonts w:ascii="ISOCPEUR" w:hAnsi="ISOCPEUR"/>
          <w:i/>
        </w:rPr>
        <w:footnoteReference w:id="3"/>
      </w:r>
    </w:p>
    <w:p w14:paraId="225BDDCD" w14:textId="10B02A2B" w:rsidR="00B51F93" w:rsidRDefault="00B51F93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proofErr w:type="spellStart"/>
      <w:r>
        <w:rPr>
          <w:rFonts w:ascii="ISOCPEUR" w:hAnsi="ISOCPEUR"/>
          <w:i/>
        </w:rPr>
        <w:t>Remontvirsmas</w:t>
      </w:r>
      <w:proofErr w:type="spellEnd"/>
      <w:r>
        <w:rPr>
          <w:rFonts w:ascii="ISOCPEUR" w:hAnsi="ISOCPEUR"/>
          <w:i/>
        </w:rPr>
        <w:t xml:space="preserve"> sagatavošana</w:t>
      </w:r>
      <w:r>
        <w:rPr>
          <w:rStyle w:val="af7"/>
          <w:rFonts w:ascii="ISOCPEUR" w:hAnsi="ISOCPEUR"/>
          <w:i/>
        </w:rPr>
        <w:footnoteReference w:id="4"/>
      </w:r>
    </w:p>
    <w:p w14:paraId="784A809E" w14:textId="1B4C30A8" w:rsidR="00B51F93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Betona sagatavošana</w:t>
      </w:r>
    </w:p>
    <w:p w14:paraId="18CB55B7" w14:textId="45035A9F" w:rsidR="001254E2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Vispārīgie norādījumi</w:t>
      </w:r>
    </w:p>
    <w:p w14:paraId="3A9CAD12" w14:textId="220BDA0B" w:rsidR="001254E2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Betons ar nepietiekošu stiprību, mehāniski un laika iedarbības rezultātā bojāts betons un, ja nepieciešams, betons bez bojājumiem jānoņem atbilstoši EN 1504-9 izvēlētajai metodei un principam.</w:t>
      </w:r>
    </w:p>
    <w:p w14:paraId="3682BC50" w14:textId="36DF2852" w:rsidR="001254E2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Tīrīšana</w:t>
      </w:r>
    </w:p>
    <w:p w14:paraId="5D0EA776" w14:textId="37A6D86D" w:rsidR="001254E2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Lietojot metodes, pie kurām nepieciešama tīrīšana, jāizpilda šādas prasības:</w:t>
      </w:r>
    </w:p>
    <w:p w14:paraId="4E82E3E1" w14:textId="1CD0326D" w:rsidR="001254E2" w:rsidRDefault="001254E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- </w:t>
      </w:r>
      <w:proofErr w:type="spellStart"/>
      <w:r>
        <w:rPr>
          <w:rFonts w:ascii="ISOCPEUR" w:hAnsi="ISOCPEUR"/>
          <w:i/>
        </w:rPr>
        <w:t>remontvirsmai</w:t>
      </w:r>
      <w:proofErr w:type="spellEnd"/>
      <w:r>
        <w:rPr>
          <w:rFonts w:ascii="ISOCPEUR" w:hAnsi="ISOCPEUR"/>
          <w:i/>
        </w:rPr>
        <w:t xml:space="preserve"> jābūt bez putekļiem, irdena materiāla, virsmas piesārņojuma un materiāliem, kas samazina saisti vai aizkavē iesūkšanos vai samitrināšanos ar remonta materiāliem.</w:t>
      </w:r>
    </w:p>
    <w:p w14:paraId="6A864134" w14:textId="548B07FC" w:rsidR="001254E2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Betona noņemšana</w:t>
      </w:r>
    </w:p>
    <w:p w14:paraId="3CE11DFE" w14:textId="10B53F1A" w:rsidR="00E67C4E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Lietojot metodes, pie kuram nepieciešama betona noņemšana, jāizpilda šādas prasības:</w:t>
      </w:r>
    </w:p>
    <w:p w14:paraId="552E8331" w14:textId="085BB35D" w:rsidR="00E67C4E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noņemamajam daudzumam jāatbilst principam un metodei, kas izvēlēti no EN 1504-9;</w:t>
      </w:r>
    </w:p>
    <w:p w14:paraId="39BD6B43" w14:textId="39BD631A" w:rsidR="00E67C4E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noņemšanai jābūt minimālai;</w:t>
      </w:r>
    </w:p>
    <w:p w14:paraId="6F00BAD4" w14:textId="301B331D" w:rsidR="00E67C4E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noņemšana nedrīkst samazināt konstruktīvo veselumu vairāk par konstrukcijas spēju izpildīt savas funkcijas;</w:t>
      </w:r>
    </w:p>
    <w:p w14:paraId="652A2526" w14:textId="412E6938" w:rsidR="00E67C4E" w:rsidRDefault="00E67C4E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- citas prasības, kas noteiktas EN 1504-10 7.2.</w:t>
      </w:r>
    </w:p>
    <w:p w14:paraId="60931824" w14:textId="493BD4F2" w:rsidR="00E67C4E" w:rsidRDefault="003E5E1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Stiegrojuma sagatavošana</w:t>
      </w:r>
    </w:p>
    <w:p w14:paraId="30AC8BB5" w14:textId="34AEA284" w:rsidR="003E5E12" w:rsidRDefault="003E5E12" w:rsidP="003057B7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Pirms aizsardzības un remonta sistēmu pielietošanas, esošais un katrs jauns stiegrojums jāsagatavo atbilstoši specifikācijai un EN 1504-9 izvēlētajam principam un metodei un nepieciešamajam konstruktīvajam izpildījumam.</w:t>
      </w:r>
    </w:p>
    <w:p w14:paraId="4FEB4EF8" w14:textId="59BA4639" w:rsidR="003E5E12" w:rsidRDefault="003E5E12" w:rsidP="003E5E12">
      <w:pPr>
        <w:pStyle w:val="a3"/>
        <w:tabs>
          <w:tab w:val="left" w:pos="9720"/>
        </w:tabs>
        <w:spacing w:after="0" w:line="240" w:lineRule="auto"/>
        <w:ind w:left="0" w:right="-38" w:firstLine="709"/>
        <w:rPr>
          <w:rFonts w:ascii="ISOCPEUR" w:hAnsi="ISOCPEUR"/>
          <w:i/>
        </w:rPr>
      </w:pPr>
      <w:r>
        <w:rPr>
          <w:rFonts w:ascii="ISOCPEUR" w:hAnsi="ISOCPEUR"/>
          <w:i/>
        </w:rPr>
        <w:t>Lietojot metodes, pie kuram nepieciešama stiegrojuma tīrīšana, jāizpilda šādas prasības:</w:t>
      </w:r>
    </w:p>
    <w:p w14:paraId="19308E44" w14:textId="1E1B2860" w:rsidR="00B77608" w:rsidRPr="00B94906" w:rsidRDefault="00B77608" w:rsidP="00B77608">
      <w:pPr>
        <w:pStyle w:val="a3"/>
        <w:numPr>
          <w:ilvl w:val="0"/>
          <w:numId w:val="24"/>
        </w:numPr>
        <w:tabs>
          <w:tab w:val="left" w:pos="9720"/>
        </w:tabs>
        <w:spacing w:after="0" w:line="240" w:lineRule="auto"/>
        <w:ind w:right="-38"/>
        <w:rPr>
          <w:rFonts w:ascii="ISOCPEUR" w:hAnsi="ISOCPEUR"/>
          <w:i/>
        </w:rPr>
      </w:pPr>
      <w:r>
        <w:rPr>
          <w:rFonts w:ascii="ISOCPEUR" w:hAnsi="ISOCPEUR"/>
          <w:i/>
        </w:rPr>
        <w:t xml:space="preserve">Jānoņem rūsa, noslāņojumi, java, betons, putekļi un citi irdeni un kaitīgi materiāli, kas samazina </w:t>
      </w:r>
      <w:r w:rsidRPr="00B94906">
        <w:rPr>
          <w:rFonts w:ascii="ISOCPEUR" w:hAnsi="ISOCPEUR"/>
          <w:i/>
        </w:rPr>
        <w:t>saisti vai sekmē koroziju;</w:t>
      </w:r>
    </w:p>
    <w:p w14:paraId="038AF7CA" w14:textId="28B476B7" w:rsidR="00B77608" w:rsidRPr="00B94906" w:rsidRDefault="00B77608" w:rsidP="00B77608">
      <w:pPr>
        <w:pStyle w:val="a3"/>
        <w:numPr>
          <w:ilvl w:val="0"/>
          <w:numId w:val="24"/>
        </w:numPr>
        <w:tabs>
          <w:tab w:val="left" w:pos="9720"/>
        </w:tabs>
        <w:spacing w:after="0" w:line="240" w:lineRule="auto"/>
        <w:ind w:right="-38"/>
        <w:rPr>
          <w:rFonts w:ascii="ISOCPEUR" w:hAnsi="ISOCPEUR"/>
          <w:i/>
        </w:rPr>
      </w:pPr>
      <w:r w:rsidRPr="00B94906">
        <w:rPr>
          <w:rFonts w:ascii="ISOCPEUR" w:hAnsi="ISOCPEUR"/>
          <w:i/>
        </w:rPr>
        <w:t>citas prasības, kas noteiktas EN 1504-10 7.2.</w:t>
      </w:r>
    </w:p>
    <w:p w14:paraId="2955845B" w14:textId="48E0CD19" w:rsidR="00B77608" w:rsidRPr="00B94906" w:rsidRDefault="00B77608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>Normatīvās atsauces materiālu un sistēmu pielietošanai saskaņā ar EN 1504-10 3. tabulu</w:t>
      </w:r>
      <w:r w:rsidR="005C3D57" w:rsidRPr="00B94906">
        <w:rPr>
          <w:rStyle w:val="af7"/>
          <w:i/>
          <w:sz w:val="22"/>
        </w:rPr>
        <w:footnoteReference w:id="5"/>
      </w:r>
      <w:r w:rsidRPr="00B94906">
        <w:rPr>
          <w:i/>
          <w:sz w:val="22"/>
        </w:rPr>
        <w:t>:</w:t>
      </w:r>
    </w:p>
    <w:p w14:paraId="03659AF1" w14:textId="6A4A8BC4" w:rsidR="00B77608" w:rsidRPr="00B94906" w:rsidRDefault="00B77608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>- betona defekt</w:t>
      </w:r>
      <w:r w:rsidR="005C3D57" w:rsidRPr="00B94906">
        <w:rPr>
          <w:i/>
          <w:sz w:val="22"/>
        </w:rPr>
        <w:t>u novēršanai</w:t>
      </w:r>
      <w:r w:rsidRPr="00B94906">
        <w:rPr>
          <w:i/>
          <w:sz w:val="22"/>
        </w:rPr>
        <w:t xml:space="preserve"> un konstruktīvajai pastiprināšanai</w:t>
      </w:r>
      <w:r w:rsidR="005C3D57" w:rsidRPr="00B94906">
        <w:rPr>
          <w:i/>
          <w:sz w:val="22"/>
        </w:rPr>
        <w:t>:</w:t>
      </w:r>
    </w:p>
    <w:p w14:paraId="3C567B78" w14:textId="27B5D425" w:rsidR="00B77608" w:rsidRPr="00B94906" w:rsidRDefault="00B77608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 xml:space="preserve">- </w:t>
      </w:r>
      <w:r w:rsidR="005C3D57" w:rsidRPr="00B94906">
        <w:rPr>
          <w:i/>
          <w:sz w:val="22"/>
        </w:rPr>
        <w:t>defektu novēršanai, kurus uzraisījusi stiegrojuma korozija:</w:t>
      </w:r>
    </w:p>
    <w:p w14:paraId="3E0F7A40" w14:textId="222AA258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lastRenderedPageBreak/>
        <w:t>Javas un betona iestrādāšana ar rokām</w:t>
      </w:r>
      <w:r w:rsidR="00B94906" w:rsidRPr="00B94906">
        <w:rPr>
          <w:rStyle w:val="af7"/>
          <w:i/>
          <w:sz w:val="22"/>
        </w:rPr>
        <w:footnoteReference w:id="6"/>
      </w:r>
    </w:p>
    <w:p w14:paraId="0C595B42" w14:textId="5FAE0594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 xml:space="preserve">Ja cementējošus materiālus vai sistēmas pielieto bez </w:t>
      </w:r>
      <w:proofErr w:type="spellStart"/>
      <w:r w:rsidRPr="00B94906">
        <w:rPr>
          <w:i/>
          <w:sz w:val="22"/>
        </w:rPr>
        <w:t>saistes</w:t>
      </w:r>
      <w:proofErr w:type="spellEnd"/>
      <w:r w:rsidRPr="00B94906">
        <w:rPr>
          <w:i/>
          <w:sz w:val="22"/>
        </w:rPr>
        <w:t xml:space="preserve"> gruntējuma, tad betona </w:t>
      </w:r>
      <w:proofErr w:type="spellStart"/>
      <w:r w:rsidRPr="00B94906">
        <w:rPr>
          <w:i/>
          <w:sz w:val="22"/>
        </w:rPr>
        <w:t>remontvirsma</w:t>
      </w:r>
      <w:proofErr w:type="spellEnd"/>
      <w:r w:rsidRPr="00B94906">
        <w:rPr>
          <w:i/>
          <w:sz w:val="22"/>
        </w:rPr>
        <w:t xml:space="preserve"> iepriekš kārtīgi jāsamitrina, bet pielietošanas laikā uz virsmas nevar būt ūdens.</w:t>
      </w:r>
      <w:r w:rsidR="00500AF9" w:rsidRPr="00B94906">
        <w:rPr>
          <w:i/>
          <w:sz w:val="22"/>
        </w:rPr>
        <w:t xml:space="preserve"> Jānorāda </w:t>
      </w:r>
      <w:proofErr w:type="spellStart"/>
      <w:r w:rsidR="00500AF9" w:rsidRPr="00B94906">
        <w:rPr>
          <w:i/>
          <w:sz w:val="22"/>
        </w:rPr>
        <w:t>remontvirsmas</w:t>
      </w:r>
      <w:proofErr w:type="spellEnd"/>
      <w:r w:rsidR="00500AF9" w:rsidRPr="00B94906">
        <w:rPr>
          <w:i/>
          <w:sz w:val="22"/>
        </w:rPr>
        <w:t xml:space="preserve"> stāvoklis, ja izmanto </w:t>
      </w:r>
      <w:proofErr w:type="spellStart"/>
      <w:r w:rsidR="00500AF9" w:rsidRPr="00B94906">
        <w:rPr>
          <w:i/>
          <w:sz w:val="22"/>
        </w:rPr>
        <w:t>saistes</w:t>
      </w:r>
      <w:proofErr w:type="spellEnd"/>
      <w:r w:rsidR="00500AF9" w:rsidRPr="00B94906">
        <w:rPr>
          <w:i/>
          <w:sz w:val="22"/>
        </w:rPr>
        <w:t xml:space="preserve"> gruntējumu.</w:t>
      </w:r>
    </w:p>
    <w:p w14:paraId="3A260BC3" w14:textId="2E6AD8CA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 xml:space="preserve">Remonta java jāiestrādā sagatavotā </w:t>
      </w:r>
      <w:proofErr w:type="spellStart"/>
      <w:r w:rsidRPr="00B94906">
        <w:rPr>
          <w:i/>
          <w:sz w:val="22"/>
        </w:rPr>
        <w:t>remontvirsmā</w:t>
      </w:r>
      <w:proofErr w:type="spellEnd"/>
      <w:r w:rsidRPr="00B94906">
        <w:rPr>
          <w:i/>
          <w:sz w:val="22"/>
        </w:rPr>
        <w:t xml:space="preserve"> un jāsablīvē neatstājot gaisa </w:t>
      </w:r>
      <w:proofErr w:type="spellStart"/>
      <w:r w:rsidRPr="00B94906">
        <w:rPr>
          <w:i/>
          <w:sz w:val="22"/>
        </w:rPr>
        <w:t>ieslēgumus</w:t>
      </w:r>
      <w:proofErr w:type="spellEnd"/>
      <w:r w:rsidRPr="00B94906">
        <w:rPr>
          <w:i/>
          <w:sz w:val="22"/>
        </w:rPr>
        <w:t xml:space="preserve"> un tādā veidā, ka ir iegūta nepieciešamā stiprība un stiegrojums ir aizsargāts pret koroziju.</w:t>
      </w:r>
    </w:p>
    <w:p w14:paraId="600AB710" w14:textId="77777777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proofErr w:type="spellStart"/>
      <w:r w:rsidRPr="00B94906">
        <w:rPr>
          <w:i/>
          <w:sz w:val="22"/>
        </w:rPr>
        <w:t>Remontjava</w:t>
      </w:r>
      <w:proofErr w:type="spellEnd"/>
      <w:r w:rsidRPr="00B94906">
        <w:rPr>
          <w:i/>
          <w:sz w:val="22"/>
        </w:rPr>
        <w:t xml:space="preserve"> vai betons tiek ieklāts kārtās (lai novērstu sēšanos vai nogulsnēšanos)/vienlaikus</w:t>
      </w:r>
      <w:r w:rsidRPr="00B94906">
        <w:rPr>
          <w:rStyle w:val="af7"/>
          <w:i/>
          <w:sz w:val="22"/>
        </w:rPr>
        <w:footnoteReference w:id="7"/>
      </w:r>
      <w:r w:rsidRPr="00B94906">
        <w:rPr>
          <w:i/>
          <w:sz w:val="22"/>
        </w:rPr>
        <w:t xml:space="preserve">. </w:t>
      </w:r>
    </w:p>
    <w:p w14:paraId="5BFA3446" w14:textId="3090CBE3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>Kārt</w:t>
      </w:r>
      <w:r w:rsidR="00295D42">
        <w:rPr>
          <w:i/>
          <w:sz w:val="22"/>
        </w:rPr>
        <w:t>a</w:t>
      </w:r>
      <w:r w:rsidRPr="00B94906">
        <w:rPr>
          <w:i/>
          <w:sz w:val="22"/>
        </w:rPr>
        <w:t xml:space="preserve">s biezums </w:t>
      </w:r>
      <w:r w:rsidRPr="00B94906">
        <w:rPr>
          <w:i/>
          <w:sz w:val="22"/>
          <w:u w:val="single"/>
        </w:rPr>
        <w:t>xx</w:t>
      </w:r>
      <w:r w:rsidRPr="00B94906">
        <w:rPr>
          <w:i/>
          <w:sz w:val="22"/>
        </w:rPr>
        <w:t xml:space="preserve"> mm.</w:t>
      </w:r>
    </w:p>
    <w:p w14:paraId="0F9F528C" w14:textId="4EE63C8F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 xml:space="preserve">Laiks starp kārtu ieklāšanu </w:t>
      </w:r>
      <w:r w:rsidRPr="00B94906">
        <w:rPr>
          <w:i/>
          <w:sz w:val="22"/>
          <w:u w:val="single"/>
        </w:rPr>
        <w:t>xx</w:t>
      </w:r>
      <w:r w:rsidRPr="00B94906">
        <w:rPr>
          <w:i/>
          <w:sz w:val="22"/>
        </w:rPr>
        <w:t xml:space="preserve"> min.</w:t>
      </w:r>
    </w:p>
    <w:p w14:paraId="3E22FF17" w14:textId="7F85A926" w:rsidR="005C3D57" w:rsidRPr="00B94906" w:rsidRDefault="005C3D57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>Citas prasības (ja nepieciešams).</w:t>
      </w:r>
    </w:p>
    <w:p w14:paraId="2FAD263B" w14:textId="0981733C" w:rsidR="00B01FE1" w:rsidRDefault="00374AAB" w:rsidP="00B77608">
      <w:pPr>
        <w:tabs>
          <w:tab w:val="left" w:pos="9720"/>
        </w:tabs>
        <w:ind w:right="-38" w:firstLine="709"/>
        <w:rPr>
          <w:i/>
          <w:sz w:val="22"/>
        </w:rPr>
      </w:pPr>
      <w:r w:rsidRPr="00B94906">
        <w:rPr>
          <w:i/>
          <w:sz w:val="22"/>
        </w:rPr>
        <w:t xml:space="preserve">Virsmas pārklājumi un citas </w:t>
      </w:r>
      <w:r w:rsidR="00B94906" w:rsidRPr="00B94906">
        <w:rPr>
          <w:i/>
          <w:sz w:val="22"/>
        </w:rPr>
        <w:t>apstrādes.</w:t>
      </w:r>
    </w:p>
    <w:p w14:paraId="5DA5C9FA" w14:textId="4F61B951" w:rsidR="00B94906" w:rsidRDefault="00B94906" w:rsidP="00B77608">
      <w:pPr>
        <w:tabs>
          <w:tab w:val="left" w:pos="9720"/>
        </w:tabs>
        <w:ind w:right="-38" w:firstLine="709"/>
        <w:rPr>
          <w:i/>
          <w:sz w:val="22"/>
        </w:rPr>
      </w:pPr>
      <w:r>
        <w:rPr>
          <w:i/>
          <w:sz w:val="22"/>
        </w:rPr>
        <w:t>Izlīdzinošie pārklājumi jāuzklāj un jācietina pirms virsmas pārklājumu pielietošanas, ja nepieciešams aizpildīt nelīdzenas virsmas un virsmas poras.</w:t>
      </w:r>
    </w:p>
    <w:p w14:paraId="75D333C0" w14:textId="77777777" w:rsidR="000B4300" w:rsidRDefault="000B4300" w:rsidP="000B4300">
      <w:pPr>
        <w:tabs>
          <w:tab w:val="left" w:pos="9720"/>
        </w:tabs>
        <w:ind w:right="-38" w:firstLine="709"/>
        <w:rPr>
          <w:i/>
          <w:sz w:val="22"/>
        </w:rPr>
      </w:pPr>
      <w:r>
        <w:rPr>
          <w:i/>
          <w:sz w:val="22"/>
        </w:rPr>
        <w:t xml:space="preserve">Pārklājumi jāuzklāj noteiktā maksimālā un minimālā biezuma robežās </w:t>
      </w:r>
      <w:r w:rsidRPr="000B4300">
        <w:rPr>
          <w:i/>
          <w:sz w:val="22"/>
          <w:u w:val="single"/>
        </w:rPr>
        <w:t>xx</w:t>
      </w:r>
      <w:r>
        <w:rPr>
          <w:i/>
          <w:sz w:val="22"/>
        </w:rPr>
        <w:t xml:space="preserve"> – </w:t>
      </w:r>
      <w:r w:rsidRPr="000B4300">
        <w:rPr>
          <w:i/>
          <w:sz w:val="22"/>
          <w:u w:val="single"/>
        </w:rPr>
        <w:t>xx</w:t>
      </w:r>
      <w:r>
        <w:rPr>
          <w:i/>
          <w:sz w:val="22"/>
        </w:rPr>
        <w:t xml:space="preserve"> mm.</w:t>
      </w:r>
    </w:p>
    <w:p w14:paraId="2C195CB6" w14:textId="12EE161A" w:rsidR="00CA7D6A" w:rsidRDefault="00CA7D6A" w:rsidP="000B4300">
      <w:pPr>
        <w:tabs>
          <w:tab w:val="left" w:pos="9720"/>
        </w:tabs>
        <w:ind w:right="-38" w:firstLine="709"/>
        <w:rPr>
          <w:i/>
          <w:sz w:val="22"/>
        </w:rPr>
      </w:pPr>
      <w:r>
        <w:rPr>
          <w:i/>
          <w:sz w:val="22"/>
        </w:rPr>
        <w:t>Nelīdzenumus var novērst kā noteikts EN 1504-10 8.2.2., 8.2.6., 8.2.7. punktā.</w:t>
      </w:r>
    </w:p>
    <w:p w14:paraId="078F0486" w14:textId="04C9B088" w:rsidR="005E506C" w:rsidRDefault="005E506C" w:rsidP="000B4300">
      <w:pPr>
        <w:tabs>
          <w:tab w:val="left" w:pos="9720"/>
        </w:tabs>
        <w:ind w:right="-38" w:firstLine="709"/>
        <w:rPr>
          <w:i/>
          <w:sz w:val="22"/>
        </w:rPr>
      </w:pPr>
      <w:r>
        <w:rPr>
          <w:i/>
          <w:sz w:val="22"/>
        </w:rPr>
        <w:t>Kvalitātes kontroles testu un novērojumu pārskats</w:t>
      </w:r>
      <w:r>
        <w:rPr>
          <w:rStyle w:val="af7"/>
          <w:i/>
          <w:sz w:val="22"/>
        </w:rPr>
        <w:footnoteReference w:id="8"/>
      </w:r>
    </w:p>
    <w:p w14:paraId="4778F5AA" w14:textId="5E6578AB" w:rsidR="00B94906" w:rsidRPr="00B94906" w:rsidRDefault="00B94906" w:rsidP="000B4300">
      <w:pPr>
        <w:tabs>
          <w:tab w:val="left" w:pos="9720"/>
        </w:tabs>
        <w:ind w:right="-38" w:firstLine="709"/>
        <w:rPr>
          <w:i/>
          <w:sz w:val="22"/>
        </w:rPr>
      </w:pPr>
      <w:r>
        <w:rPr>
          <w:i/>
          <w:sz w:val="22"/>
        </w:rPr>
        <w:tab/>
      </w:r>
    </w:p>
    <w:sectPr w:rsidR="00B94906" w:rsidRPr="00B94906" w:rsidSect="00691877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60" w:right="626" w:bottom="144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BDAD" w14:textId="77777777" w:rsidR="0097452C" w:rsidRDefault="0097452C">
      <w:r>
        <w:separator/>
      </w:r>
    </w:p>
  </w:endnote>
  <w:endnote w:type="continuationSeparator" w:id="0">
    <w:p w14:paraId="3B37E405" w14:textId="77777777" w:rsidR="0097452C" w:rsidRDefault="00974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C0A8" w14:textId="77777777" w:rsidR="004D29E6" w:rsidRDefault="00C51033" w:rsidP="00F50E6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61EF3FB" w14:textId="77777777" w:rsidR="004D29E6" w:rsidRDefault="004D29E6" w:rsidP="004A098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A3704" w14:textId="77777777" w:rsidR="004D29E6" w:rsidRDefault="004D29E6" w:rsidP="004A098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C3A0E" w14:textId="77777777" w:rsidR="0097452C" w:rsidRDefault="0097452C">
      <w:r>
        <w:separator/>
      </w:r>
    </w:p>
  </w:footnote>
  <w:footnote w:type="continuationSeparator" w:id="0">
    <w:p w14:paraId="3D296669" w14:textId="77777777" w:rsidR="0097452C" w:rsidRDefault="0097452C">
      <w:r>
        <w:continuationSeparator/>
      </w:r>
    </w:p>
  </w:footnote>
  <w:footnote w:id="1">
    <w:p w14:paraId="41BBC9F8" w14:textId="690B111D" w:rsidR="004E67F1" w:rsidRDefault="004E67F1">
      <w:pPr>
        <w:pStyle w:val="af5"/>
      </w:pPr>
      <w:r>
        <w:rPr>
          <w:rStyle w:val="af7"/>
        </w:rPr>
        <w:footnoteRef/>
      </w:r>
      <w:r>
        <w:t xml:space="preserve"> Saskaņā ar EN 1504-10 3.17. maksimālais noņemams </w:t>
      </w:r>
      <w:proofErr w:type="spellStart"/>
      <w:r>
        <w:t>remontvirsmas</w:t>
      </w:r>
      <w:proofErr w:type="spellEnd"/>
      <w:r>
        <w:t xml:space="preserve"> slānis ir 15 mm.</w:t>
      </w:r>
    </w:p>
  </w:footnote>
  <w:footnote w:id="2">
    <w:p w14:paraId="7C1ED90E" w14:textId="7D65C088" w:rsidR="00FA3397" w:rsidRDefault="00FA3397">
      <w:pPr>
        <w:pStyle w:val="af5"/>
      </w:pPr>
      <w:r>
        <w:rPr>
          <w:rStyle w:val="af7"/>
        </w:rPr>
        <w:footnoteRef/>
      </w:r>
      <w:r>
        <w:t xml:space="preserve"> Saskaņā ar EN 1504-9 6.2.1., 1. tabulu, A.1. tabulu</w:t>
      </w:r>
      <w:r w:rsidR="00036D8D">
        <w:t>, EN 1504-10 6., 1. tabulu</w:t>
      </w:r>
    </w:p>
  </w:footnote>
  <w:footnote w:id="3">
    <w:p w14:paraId="1FBAF053" w14:textId="752ED319" w:rsidR="00036D8D" w:rsidRDefault="00036D8D">
      <w:pPr>
        <w:pStyle w:val="af5"/>
      </w:pPr>
      <w:r>
        <w:rPr>
          <w:rStyle w:val="af7"/>
        </w:rPr>
        <w:footnoteRef/>
      </w:r>
      <w:r>
        <w:t xml:space="preserve"> Aprakstīt sagatavošanu, pielietošanu un kvalitātes kontroli</w:t>
      </w:r>
    </w:p>
  </w:footnote>
  <w:footnote w:id="4">
    <w:p w14:paraId="514E788E" w14:textId="09055179" w:rsidR="00B51F93" w:rsidRDefault="00B51F93">
      <w:pPr>
        <w:pStyle w:val="af5"/>
      </w:pPr>
      <w:r>
        <w:rPr>
          <w:rStyle w:val="af7"/>
        </w:rPr>
        <w:footnoteRef/>
      </w:r>
      <w:r>
        <w:t xml:space="preserve"> Uzskaitīt/aprakstīt sagatavošanas prasības atbilstoši EN 1504-10 2. tabulai un izvēlētajai metodei </w:t>
      </w:r>
    </w:p>
  </w:footnote>
  <w:footnote w:id="5">
    <w:p w14:paraId="73290B53" w14:textId="0E33DEB5" w:rsidR="005C3D57" w:rsidRDefault="005C3D57">
      <w:pPr>
        <w:pStyle w:val="af5"/>
      </w:pPr>
      <w:r>
        <w:rPr>
          <w:rStyle w:val="af7"/>
        </w:rPr>
        <w:footnoteRef/>
      </w:r>
      <w:r>
        <w:t xml:space="preserve"> Uzskaitīt standartus un to punktus, pamatojoties uz EN 1504-10 3. tabulā norādīto informāciju</w:t>
      </w:r>
    </w:p>
  </w:footnote>
  <w:footnote w:id="6">
    <w:p w14:paraId="58A2CD07" w14:textId="67C20517" w:rsidR="00B94906" w:rsidRDefault="00B94906">
      <w:pPr>
        <w:pStyle w:val="af5"/>
      </w:pPr>
      <w:r>
        <w:rPr>
          <w:rStyle w:val="af7"/>
        </w:rPr>
        <w:footnoteRef/>
      </w:r>
      <w:r>
        <w:t xml:space="preserve"> EN 1504-10 8.2. sadaļā ir minēti citi, šai DVP neminētie remonta paņēmieni. Skatīt EN 1504-10 8.2. sadaļu.</w:t>
      </w:r>
    </w:p>
  </w:footnote>
  <w:footnote w:id="7">
    <w:p w14:paraId="5AFB1E38" w14:textId="50C53169" w:rsidR="005C3D57" w:rsidRDefault="005C3D57">
      <w:pPr>
        <w:pStyle w:val="af5"/>
      </w:pPr>
      <w:r>
        <w:rPr>
          <w:rStyle w:val="af7"/>
        </w:rPr>
        <w:footnoteRef/>
      </w:r>
      <w:r>
        <w:t xml:space="preserve"> Izvēlēties atbilstošu variantu</w:t>
      </w:r>
    </w:p>
  </w:footnote>
  <w:footnote w:id="8">
    <w:p w14:paraId="4885F945" w14:textId="65E5B711" w:rsidR="005E506C" w:rsidRDefault="005E506C">
      <w:pPr>
        <w:pStyle w:val="af5"/>
      </w:pPr>
      <w:r>
        <w:rPr>
          <w:rStyle w:val="af7"/>
        </w:rPr>
        <w:footnoteRef/>
      </w:r>
      <w:r>
        <w:t xml:space="preserve"> Nosakāms pēc EN 1504-10 4. tabulas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02C74" w14:textId="77777777" w:rsidR="004D29E6" w:rsidRDefault="00C51033" w:rsidP="004A5D96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6466263" w14:textId="77777777" w:rsidR="004D29E6" w:rsidRDefault="004D29E6" w:rsidP="00E033ED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0CDEE" w14:textId="77777777" w:rsidR="004D29E6" w:rsidRPr="00E033ED" w:rsidRDefault="00C51033" w:rsidP="00E033ED">
    <w:pPr>
      <w:pStyle w:val="ab"/>
      <w:framePr w:w="621" w:h="391" w:hRule="exact" w:wrap="around" w:vAnchor="text" w:hAnchor="page" w:x="10991" w:y="-357"/>
      <w:spacing w:after="0" w:line="240" w:lineRule="auto"/>
      <w:jc w:val="center"/>
      <w:rPr>
        <w:rStyle w:val="aa"/>
        <w:rFonts w:ascii="ISOCPEUR" w:hAnsi="ISOCPEUR"/>
        <w:i/>
      </w:rPr>
    </w:pPr>
    <w:r w:rsidRPr="00E033ED">
      <w:rPr>
        <w:rStyle w:val="aa"/>
        <w:rFonts w:ascii="ISOCPEUR" w:hAnsi="ISOCPEUR"/>
        <w:i/>
      </w:rPr>
      <w:fldChar w:fldCharType="begin"/>
    </w:r>
    <w:r w:rsidRPr="00E033ED">
      <w:rPr>
        <w:rStyle w:val="aa"/>
        <w:rFonts w:ascii="ISOCPEUR" w:hAnsi="ISOCPEUR"/>
        <w:i/>
      </w:rPr>
      <w:instrText xml:space="preserve">PAGE  </w:instrText>
    </w:r>
    <w:r w:rsidRPr="00E033ED">
      <w:rPr>
        <w:rStyle w:val="aa"/>
        <w:rFonts w:ascii="ISOCPEUR" w:hAnsi="ISOCPEUR"/>
        <w:i/>
      </w:rPr>
      <w:fldChar w:fldCharType="separate"/>
    </w:r>
    <w:r w:rsidR="009821E3">
      <w:rPr>
        <w:rStyle w:val="aa"/>
        <w:rFonts w:ascii="ISOCPEUR" w:hAnsi="ISOCPEUR"/>
        <w:i/>
        <w:noProof/>
      </w:rPr>
      <w:t>19</w:t>
    </w:r>
    <w:r w:rsidRPr="00E033ED">
      <w:rPr>
        <w:rStyle w:val="aa"/>
        <w:rFonts w:ascii="ISOCPEUR" w:hAnsi="ISOCPEUR"/>
        <w:i/>
      </w:rPr>
      <w:fldChar w:fldCharType="end"/>
    </w:r>
  </w:p>
  <w:p w14:paraId="52292828" w14:textId="1F85A823" w:rsidR="004D29E6" w:rsidRDefault="00C974FF" w:rsidP="00E033ED">
    <w:pPr>
      <w:pStyle w:val="ab"/>
      <w:ind w:right="360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7446F4" wp14:editId="069865CA">
              <wp:simplePos x="0" y="0"/>
              <wp:positionH relativeFrom="column">
                <wp:posOffset>6083300</wp:posOffset>
              </wp:positionH>
              <wp:positionV relativeFrom="paragraph">
                <wp:posOffset>-265430</wp:posOffset>
              </wp:positionV>
              <wp:extent cx="393700" cy="247650"/>
              <wp:effectExtent l="11430" t="12700" r="13970" b="6350"/>
              <wp:wrapNone/>
              <wp:docPr id="8" name="Taisnstūris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700" cy="24765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84B9CE" id="Taisnstūris 8" o:spid="_x0000_s1026" style="position:absolute;margin-left:479pt;margin-top:-20.9pt;width:31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" filled="f" strokeweight=".5pt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DD2DF60" wp14:editId="3E537634">
              <wp:simplePos x="0" y="0"/>
              <wp:positionH relativeFrom="column">
                <wp:posOffset>-363220</wp:posOffset>
              </wp:positionH>
              <wp:positionV relativeFrom="paragraph">
                <wp:posOffset>-264795</wp:posOffset>
              </wp:positionV>
              <wp:extent cx="6840220" cy="10332085"/>
              <wp:effectExtent l="13335" t="13335" r="13970" b="8255"/>
              <wp:wrapNone/>
              <wp:docPr id="7" name="Taisnstūri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103320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AB73A" id="Taisnstūris 7" o:spid="_x0000_s1026" style="position:absolute;margin-left:-28.6pt;margin-top:-20.85pt;width:538.6pt;height:81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" filled="f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69A"/>
    <w:multiLevelType w:val="multilevel"/>
    <w:tmpl w:val="9280BC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1BE0456"/>
    <w:multiLevelType w:val="hybridMultilevel"/>
    <w:tmpl w:val="899CA516"/>
    <w:lvl w:ilvl="0" w:tplc="CF8006CE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A69F0"/>
    <w:multiLevelType w:val="hybridMultilevel"/>
    <w:tmpl w:val="F9DC1500"/>
    <w:lvl w:ilvl="0" w:tplc="8C04F282">
      <w:start w:val="1"/>
      <w:numFmt w:val="decimal"/>
      <w:pStyle w:val="Stils3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4148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2D5909"/>
    <w:multiLevelType w:val="hybridMultilevel"/>
    <w:tmpl w:val="C8C23AAE"/>
    <w:lvl w:ilvl="0" w:tplc="04260017">
      <w:start w:val="1"/>
      <w:numFmt w:val="lowerLetter"/>
      <w:lvlText w:val="%1)"/>
      <w:lvlJc w:val="left"/>
      <w:pPr>
        <w:ind w:left="1576" w:hanging="360"/>
      </w:pPr>
    </w:lvl>
    <w:lvl w:ilvl="1" w:tplc="04260019" w:tentative="1">
      <w:start w:val="1"/>
      <w:numFmt w:val="lowerLetter"/>
      <w:lvlText w:val="%2."/>
      <w:lvlJc w:val="left"/>
      <w:pPr>
        <w:ind w:left="2296" w:hanging="360"/>
      </w:pPr>
    </w:lvl>
    <w:lvl w:ilvl="2" w:tplc="0426001B" w:tentative="1">
      <w:start w:val="1"/>
      <w:numFmt w:val="lowerRoman"/>
      <w:lvlText w:val="%3."/>
      <w:lvlJc w:val="right"/>
      <w:pPr>
        <w:ind w:left="3016" w:hanging="180"/>
      </w:pPr>
    </w:lvl>
    <w:lvl w:ilvl="3" w:tplc="0426000F" w:tentative="1">
      <w:start w:val="1"/>
      <w:numFmt w:val="decimal"/>
      <w:lvlText w:val="%4."/>
      <w:lvlJc w:val="left"/>
      <w:pPr>
        <w:ind w:left="3736" w:hanging="360"/>
      </w:pPr>
    </w:lvl>
    <w:lvl w:ilvl="4" w:tplc="04260019" w:tentative="1">
      <w:start w:val="1"/>
      <w:numFmt w:val="lowerLetter"/>
      <w:lvlText w:val="%5."/>
      <w:lvlJc w:val="left"/>
      <w:pPr>
        <w:ind w:left="4456" w:hanging="360"/>
      </w:pPr>
    </w:lvl>
    <w:lvl w:ilvl="5" w:tplc="0426001B" w:tentative="1">
      <w:start w:val="1"/>
      <w:numFmt w:val="lowerRoman"/>
      <w:lvlText w:val="%6."/>
      <w:lvlJc w:val="right"/>
      <w:pPr>
        <w:ind w:left="5176" w:hanging="180"/>
      </w:pPr>
    </w:lvl>
    <w:lvl w:ilvl="6" w:tplc="0426000F" w:tentative="1">
      <w:start w:val="1"/>
      <w:numFmt w:val="decimal"/>
      <w:lvlText w:val="%7."/>
      <w:lvlJc w:val="left"/>
      <w:pPr>
        <w:ind w:left="5896" w:hanging="360"/>
      </w:pPr>
    </w:lvl>
    <w:lvl w:ilvl="7" w:tplc="04260019" w:tentative="1">
      <w:start w:val="1"/>
      <w:numFmt w:val="lowerLetter"/>
      <w:lvlText w:val="%8."/>
      <w:lvlJc w:val="left"/>
      <w:pPr>
        <w:ind w:left="6616" w:hanging="360"/>
      </w:pPr>
    </w:lvl>
    <w:lvl w:ilvl="8" w:tplc="0426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5" w15:restartNumberingAfterBreak="0">
    <w:nsid w:val="28866611"/>
    <w:multiLevelType w:val="hybridMultilevel"/>
    <w:tmpl w:val="D2F6B390"/>
    <w:lvl w:ilvl="0" w:tplc="FE1407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BE12ED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EB46FA1"/>
    <w:multiLevelType w:val="multilevel"/>
    <w:tmpl w:val="8710E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105B5"/>
    <w:multiLevelType w:val="hybridMultilevel"/>
    <w:tmpl w:val="D7208556"/>
    <w:lvl w:ilvl="0" w:tplc="BA26E51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0B4F14"/>
    <w:multiLevelType w:val="hybridMultilevel"/>
    <w:tmpl w:val="58D0ACE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D42530"/>
    <w:multiLevelType w:val="hybridMultilevel"/>
    <w:tmpl w:val="B68EEE30"/>
    <w:lvl w:ilvl="0" w:tplc="D0A2720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D458FC"/>
    <w:multiLevelType w:val="multilevel"/>
    <w:tmpl w:val="44B090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FB2439C"/>
    <w:multiLevelType w:val="hybridMultilevel"/>
    <w:tmpl w:val="3B0CAD06"/>
    <w:lvl w:ilvl="0" w:tplc="241458C0">
      <w:numFmt w:val="bullet"/>
      <w:lvlText w:val="-"/>
      <w:lvlJc w:val="left"/>
      <w:pPr>
        <w:ind w:left="1069" w:hanging="360"/>
      </w:pPr>
      <w:rPr>
        <w:rFonts w:ascii="ISOCPEUR" w:eastAsia="Times New Roman" w:hAnsi="ISOCPEUR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3F13A79"/>
    <w:multiLevelType w:val="multilevel"/>
    <w:tmpl w:val="5448DB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DA9064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5A0A6997"/>
    <w:multiLevelType w:val="multilevel"/>
    <w:tmpl w:val="2E805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6" w15:restartNumberingAfterBreak="0">
    <w:nsid w:val="5B9942ED"/>
    <w:multiLevelType w:val="multilevel"/>
    <w:tmpl w:val="6EAE6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7" w15:restartNumberingAfterBreak="0">
    <w:nsid w:val="61497A6A"/>
    <w:multiLevelType w:val="hybridMultilevel"/>
    <w:tmpl w:val="6C5A38B6"/>
    <w:lvl w:ilvl="0" w:tplc="CAE42C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4D393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A307D45"/>
    <w:multiLevelType w:val="multilevel"/>
    <w:tmpl w:val="466068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C7C2028"/>
    <w:multiLevelType w:val="hybridMultilevel"/>
    <w:tmpl w:val="80A82C54"/>
    <w:lvl w:ilvl="0" w:tplc="C8D073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SOCPEUR" w:eastAsia="Times New Roman" w:hAnsi="ISOCPEUR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3419B"/>
    <w:multiLevelType w:val="hybridMultilevel"/>
    <w:tmpl w:val="7BAA9322"/>
    <w:lvl w:ilvl="0" w:tplc="792881D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SOCPEUR" w:eastAsia="Times New Roman" w:hAnsi="ISOCPEUR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8A7FE3"/>
    <w:multiLevelType w:val="multilevel"/>
    <w:tmpl w:val="87B48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B0241EE"/>
    <w:multiLevelType w:val="multilevel"/>
    <w:tmpl w:val="18B4047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87502031">
    <w:abstractNumId w:val="5"/>
  </w:num>
  <w:num w:numId="2" w16cid:durableId="2081445729">
    <w:abstractNumId w:val="19"/>
  </w:num>
  <w:num w:numId="3" w16cid:durableId="1498304141">
    <w:abstractNumId w:val="10"/>
  </w:num>
  <w:num w:numId="4" w16cid:durableId="1079401420">
    <w:abstractNumId w:val="1"/>
  </w:num>
  <w:num w:numId="5" w16cid:durableId="2012685321">
    <w:abstractNumId w:val="14"/>
  </w:num>
  <w:num w:numId="6" w16cid:durableId="1220508262">
    <w:abstractNumId w:val="7"/>
  </w:num>
  <w:num w:numId="7" w16cid:durableId="950086805">
    <w:abstractNumId w:val="23"/>
  </w:num>
  <w:num w:numId="8" w16cid:durableId="825900770">
    <w:abstractNumId w:val="18"/>
  </w:num>
  <w:num w:numId="9" w16cid:durableId="801964554">
    <w:abstractNumId w:val="13"/>
  </w:num>
  <w:num w:numId="10" w16cid:durableId="225989676">
    <w:abstractNumId w:val="22"/>
  </w:num>
  <w:num w:numId="11" w16cid:durableId="473181341">
    <w:abstractNumId w:val="11"/>
  </w:num>
  <w:num w:numId="12" w16cid:durableId="1994334805">
    <w:abstractNumId w:val="0"/>
  </w:num>
  <w:num w:numId="13" w16cid:durableId="1789204989">
    <w:abstractNumId w:val="3"/>
  </w:num>
  <w:num w:numId="14" w16cid:durableId="1220553845">
    <w:abstractNumId w:val="6"/>
  </w:num>
  <w:num w:numId="15" w16cid:durableId="1908103178">
    <w:abstractNumId w:val="9"/>
  </w:num>
  <w:num w:numId="16" w16cid:durableId="429669302">
    <w:abstractNumId w:val="15"/>
  </w:num>
  <w:num w:numId="17" w16cid:durableId="1314987283">
    <w:abstractNumId w:val="16"/>
  </w:num>
  <w:num w:numId="18" w16cid:durableId="1807697503">
    <w:abstractNumId w:val="20"/>
  </w:num>
  <w:num w:numId="19" w16cid:durableId="13653579">
    <w:abstractNumId w:val="21"/>
  </w:num>
  <w:num w:numId="20" w16cid:durableId="1670403547">
    <w:abstractNumId w:val="4"/>
  </w:num>
  <w:num w:numId="21" w16cid:durableId="1600601657">
    <w:abstractNumId w:val="17"/>
  </w:num>
  <w:num w:numId="22" w16cid:durableId="984120962">
    <w:abstractNumId w:val="8"/>
  </w:num>
  <w:num w:numId="23" w16cid:durableId="1200120351">
    <w:abstractNumId w:val="2"/>
  </w:num>
  <w:num w:numId="24" w16cid:durableId="1354111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42"/>
    <w:rsid w:val="00036D8D"/>
    <w:rsid w:val="000B4300"/>
    <w:rsid w:val="000F5C1C"/>
    <w:rsid w:val="001121F7"/>
    <w:rsid w:val="00114F2F"/>
    <w:rsid w:val="001254E2"/>
    <w:rsid w:val="00127DD4"/>
    <w:rsid w:val="00192D60"/>
    <w:rsid w:val="001A195A"/>
    <w:rsid w:val="001A2639"/>
    <w:rsid w:val="001F5B72"/>
    <w:rsid w:val="00244B65"/>
    <w:rsid w:val="002809BE"/>
    <w:rsid w:val="00290598"/>
    <w:rsid w:val="00295D42"/>
    <w:rsid w:val="0029744F"/>
    <w:rsid w:val="002A221A"/>
    <w:rsid w:val="002A7B43"/>
    <w:rsid w:val="003057B7"/>
    <w:rsid w:val="00374AAB"/>
    <w:rsid w:val="003A4C42"/>
    <w:rsid w:val="003E5E12"/>
    <w:rsid w:val="003F1011"/>
    <w:rsid w:val="00434325"/>
    <w:rsid w:val="004526B0"/>
    <w:rsid w:val="004554B2"/>
    <w:rsid w:val="00457FDF"/>
    <w:rsid w:val="004D29E6"/>
    <w:rsid w:val="004E67F1"/>
    <w:rsid w:val="00500AF9"/>
    <w:rsid w:val="00523563"/>
    <w:rsid w:val="0054330E"/>
    <w:rsid w:val="00556666"/>
    <w:rsid w:val="00586F63"/>
    <w:rsid w:val="005C3D57"/>
    <w:rsid w:val="005E506C"/>
    <w:rsid w:val="005F102C"/>
    <w:rsid w:val="00657841"/>
    <w:rsid w:val="00691877"/>
    <w:rsid w:val="006E7EDE"/>
    <w:rsid w:val="0074479C"/>
    <w:rsid w:val="00757D04"/>
    <w:rsid w:val="00760F9C"/>
    <w:rsid w:val="007D4F4E"/>
    <w:rsid w:val="007F0CDE"/>
    <w:rsid w:val="00853782"/>
    <w:rsid w:val="00861405"/>
    <w:rsid w:val="008E485F"/>
    <w:rsid w:val="008E533D"/>
    <w:rsid w:val="008F18C9"/>
    <w:rsid w:val="00957B0B"/>
    <w:rsid w:val="0097452C"/>
    <w:rsid w:val="009821E3"/>
    <w:rsid w:val="009B209A"/>
    <w:rsid w:val="009B6890"/>
    <w:rsid w:val="009D0F50"/>
    <w:rsid w:val="009D253E"/>
    <w:rsid w:val="009E7696"/>
    <w:rsid w:val="009F5389"/>
    <w:rsid w:val="00A06508"/>
    <w:rsid w:val="00A1103B"/>
    <w:rsid w:val="00A51B21"/>
    <w:rsid w:val="00A54A64"/>
    <w:rsid w:val="00A83C30"/>
    <w:rsid w:val="00A95F90"/>
    <w:rsid w:val="00B01FE1"/>
    <w:rsid w:val="00B357C5"/>
    <w:rsid w:val="00B51F93"/>
    <w:rsid w:val="00B77608"/>
    <w:rsid w:val="00B94906"/>
    <w:rsid w:val="00BF3CFC"/>
    <w:rsid w:val="00BF4A3F"/>
    <w:rsid w:val="00C51033"/>
    <w:rsid w:val="00C664A7"/>
    <w:rsid w:val="00C91BA5"/>
    <w:rsid w:val="00C974FF"/>
    <w:rsid w:val="00CA7D6A"/>
    <w:rsid w:val="00CB5305"/>
    <w:rsid w:val="00CE5375"/>
    <w:rsid w:val="00D54A11"/>
    <w:rsid w:val="00D65FCB"/>
    <w:rsid w:val="00D662FD"/>
    <w:rsid w:val="00D720C2"/>
    <w:rsid w:val="00D81C54"/>
    <w:rsid w:val="00D9437A"/>
    <w:rsid w:val="00DE7ACF"/>
    <w:rsid w:val="00E25C65"/>
    <w:rsid w:val="00E46A90"/>
    <w:rsid w:val="00E67C4E"/>
    <w:rsid w:val="00E831D8"/>
    <w:rsid w:val="00E92E0B"/>
    <w:rsid w:val="00ED43F4"/>
    <w:rsid w:val="00EE5D7D"/>
    <w:rsid w:val="00EF5260"/>
    <w:rsid w:val="00F2020A"/>
    <w:rsid w:val="00F41CF9"/>
    <w:rsid w:val="00F74374"/>
    <w:rsid w:val="00F86AC0"/>
    <w:rsid w:val="00F94DC5"/>
    <w:rsid w:val="00FA3397"/>
    <w:rsid w:val="00FE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4C9BB49"/>
  <w15:chartTrackingRefBased/>
  <w15:docId w15:val="{BCE88EA0-181E-4F1F-BB25-AB318414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SOCPEUR" w:eastAsiaTheme="minorHAnsi" w:hAnsi="ISOCPEUR" w:cs="Times New Roman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9E6"/>
  </w:style>
  <w:style w:type="paragraph" w:styleId="1">
    <w:name w:val="heading 1"/>
    <w:basedOn w:val="a"/>
    <w:next w:val="a"/>
    <w:link w:val="10"/>
    <w:uiPriority w:val="99"/>
    <w:qFormat/>
    <w:rsid w:val="00C974F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1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6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74FF"/>
    <w:rPr>
      <w:rFonts w:ascii="Arial" w:eastAsia="Times New Roman" w:hAnsi="Arial"/>
      <w:b/>
      <w:bCs/>
      <w:kern w:val="32"/>
      <w:sz w:val="32"/>
      <w:szCs w:val="32"/>
      <w:lang w:eastAsia="lv-LV"/>
    </w:rPr>
  </w:style>
  <w:style w:type="paragraph" w:styleId="a3">
    <w:name w:val="List Paragraph"/>
    <w:basedOn w:val="a"/>
    <w:link w:val="a4"/>
    <w:uiPriority w:val="34"/>
    <w:qFormat/>
    <w:rsid w:val="00C974FF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a5">
    <w:name w:val="Body Text"/>
    <w:basedOn w:val="a"/>
    <w:link w:val="a6"/>
    <w:semiHidden/>
    <w:unhideWhenUsed/>
    <w:rsid w:val="00C974FF"/>
    <w:pPr>
      <w:spacing w:after="120" w:line="276" w:lineRule="auto"/>
    </w:pPr>
    <w:rPr>
      <w:rFonts w:ascii="Calibri" w:eastAsia="Times New Roman" w:hAnsi="Calibri"/>
      <w:sz w:val="22"/>
    </w:rPr>
  </w:style>
  <w:style w:type="character" w:customStyle="1" w:styleId="a6">
    <w:name w:val="Основной текст Знак"/>
    <w:basedOn w:val="a0"/>
    <w:link w:val="a5"/>
    <w:semiHidden/>
    <w:rsid w:val="00C974FF"/>
    <w:rPr>
      <w:rFonts w:ascii="Calibri" w:eastAsia="Times New Roman" w:hAnsi="Calibri"/>
      <w:sz w:val="22"/>
    </w:rPr>
  </w:style>
  <w:style w:type="table" w:styleId="a7">
    <w:name w:val="Table Grid"/>
    <w:basedOn w:val="a1"/>
    <w:rsid w:val="00C974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C974FF"/>
    <w:pPr>
      <w:spacing w:after="120" w:line="276" w:lineRule="auto"/>
      <w:ind w:left="283"/>
    </w:pPr>
    <w:rPr>
      <w:rFonts w:ascii="Calibri" w:eastAsia="Times New Roman" w:hAnsi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974FF"/>
    <w:rPr>
      <w:rFonts w:ascii="Calibri" w:eastAsia="Times New Roman" w:hAnsi="Calibri"/>
      <w:sz w:val="16"/>
      <w:szCs w:val="16"/>
    </w:rPr>
  </w:style>
  <w:style w:type="paragraph" w:styleId="a8">
    <w:name w:val="footer"/>
    <w:basedOn w:val="a"/>
    <w:link w:val="a9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9">
    <w:name w:val="Нижний колонтитул Знак"/>
    <w:basedOn w:val="a0"/>
    <w:link w:val="a8"/>
    <w:rsid w:val="00C974FF"/>
    <w:rPr>
      <w:rFonts w:ascii="Calibri" w:eastAsia="Times New Roman" w:hAnsi="Calibri"/>
      <w:sz w:val="22"/>
    </w:rPr>
  </w:style>
  <w:style w:type="character" w:styleId="aa">
    <w:name w:val="page number"/>
    <w:basedOn w:val="a0"/>
    <w:rsid w:val="00C974FF"/>
  </w:style>
  <w:style w:type="paragraph" w:styleId="ab">
    <w:name w:val="header"/>
    <w:basedOn w:val="a"/>
    <w:link w:val="ac"/>
    <w:rsid w:val="00C974F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</w:rPr>
  </w:style>
  <w:style w:type="character" w:customStyle="1" w:styleId="ac">
    <w:name w:val="Верхний колонтитул Знак"/>
    <w:basedOn w:val="a0"/>
    <w:link w:val="ab"/>
    <w:rsid w:val="00C974FF"/>
    <w:rPr>
      <w:rFonts w:ascii="Calibri" w:eastAsia="Times New Roman" w:hAnsi="Calibri"/>
      <w:sz w:val="22"/>
    </w:rPr>
  </w:style>
  <w:style w:type="character" w:styleId="ad">
    <w:name w:val="Hyperlink"/>
    <w:rsid w:val="00C974FF"/>
    <w:rPr>
      <w:rFonts w:cs="Times New Roman"/>
      <w:color w:val="0000FF"/>
      <w:u w:val="single"/>
    </w:rPr>
  </w:style>
  <w:style w:type="paragraph" w:styleId="ae">
    <w:name w:val="Balloon Text"/>
    <w:basedOn w:val="a"/>
    <w:link w:val="af"/>
    <w:rsid w:val="00C974FF"/>
    <w:rPr>
      <w:rFonts w:ascii="Tahoma" w:eastAsia="Times New Roman" w:hAnsi="Tahoma"/>
      <w:sz w:val="16"/>
      <w:szCs w:val="16"/>
      <w:lang w:val="x-none"/>
    </w:rPr>
  </w:style>
  <w:style w:type="character" w:customStyle="1" w:styleId="af">
    <w:name w:val="Текст выноски Знак"/>
    <w:basedOn w:val="a0"/>
    <w:link w:val="ae"/>
    <w:rsid w:val="00C974FF"/>
    <w:rPr>
      <w:rFonts w:ascii="Tahoma" w:eastAsia="Times New Roman" w:hAnsi="Tahoma"/>
      <w:sz w:val="16"/>
      <w:szCs w:val="16"/>
      <w:lang w:val="x-none"/>
    </w:rPr>
  </w:style>
  <w:style w:type="character" w:styleId="af0">
    <w:name w:val="annotation reference"/>
    <w:rsid w:val="00C974FF"/>
    <w:rPr>
      <w:sz w:val="16"/>
      <w:szCs w:val="16"/>
    </w:rPr>
  </w:style>
  <w:style w:type="paragraph" w:styleId="af1">
    <w:name w:val="annotation text"/>
    <w:basedOn w:val="a"/>
    <w:link w:val="af2"/>
    <w:rsid w:val="00C974FF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C974FF"/>
    <w:rPr>
      <w:rFonts w:ascii="Calibri" w:eastAsia="Times New Roman" w:hAnsi="Calibri"/>
      <w:sz w:val="20"/>
      <w:szCs w:val="20"/>
    </w:rPr>
  </w:style>
  <w:style w:type="paragraph" w:styleId="af3">
    <w:name w:val="annotation subject"/>
    <w:basedOn w:val="af1"/>
    <w:next w:val="af1"/>
    <w:link w:val="af4"/>
    <w:rsid w:val="00C974FF"/>
    <w:rPr>
      <w:b/>
      <w:bCs/>
    </w:rPr>
  </w:style>
  <w:style w:type="character" w:customStyle="1" w:styleId="af4">
    <w:name w:val="Тема примечания Знак"/>
    <w:basedOn w:val="af2"/>
    <w:link w:val="af3"/>
    <w:rsid w:val="00C974FF"/>
    <w:rPr>
      <w:rFonts w:ascii="Calibri" w:eastAsia="Times New Roman" w:hAnsi="Calibri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5566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5">
    <w:name w:val="footnote text"/>
    <w:basedOn w:val="a"/>
    <w:link w:val="af6"/>
    <w:uiPriority w:val="99"/>
    <w:unhideWhenUsed/>
    <w:rsid w:val="00853782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853782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853782"/>
    <w:rPr>
      <w:vertAlign w:val="superscript"/>
    </w:rPr>
  </w:style>
  <w:style w:type="paragraph" w:customStyle="1" w:styleId="Default">
    <w:name w:val="Default"/>
    <w:qFormat/>
    <w:rsid w:val="00F86AC0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9821E3"/>
    <w:rPr>
      <w:rFonts w:ascii="Calibri" w:eastAsia="Times New Roman" w:hAnsi="Calibri"/>
      <w:sz w:val="22"/>
    </w:rPr>
  </w:style>
  <w:style w:type="paragraph" w:customStyle="1" w:styleId="Stils3">
    <w:name w:val="Stils3"/>
    <w:basedOn w:val="3"/>
    <w:link w:val="Stils3Rakstz"/>
    <w:qFormat/>
    <w:rsid w:val="009821E3"/>
    <w:pPr>
      <w:numPr>
        <w:numId w:val="23"/>
      </w:numPr>
    </w:pPr>
    <w:rPr>
      <w:rFonts w:ascii="Arial Narrow" w:hAnsi="Arial Narrow"/>
      <w:b/>
      <w:color w:val="000000" w:themeColor="text1"/>
      <w:sz w:val="28"/>
    </w:rPr>
  </w:style>
  <w:style w:type="character" w:customStyle="1" w:styleId="Stils3Rakstz">
    <w:name w:val="Stils3 Rakstz."/>
    <w:basedOn w:val="30"/>
    <w:link w:val="Stils3"/>
    <w:rsid w:val="009821E3"/>
    <w:rPr>
      <w:rFonts w:ascii="Arial Narrow" w:eastAsiaTheme="majorEastAsia" w:hAnsi="Arial Narrow" w:cstheme="majorBidi"/>
      <w:b/>
      <w:color w:val="000000" w:themeColor="text1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821E3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af8">
    <w:name w:val="Placeholder Text"/>
    <w:basedOn w:val="a0"/>
    <w:uiPriority w:val="99"/>
    <w:semiHidden/>
    <w:rsid w:val="004D29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8FB67-8AC9-45C6-A4EE-13BF568C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Nikolajs Zaicenko</cp:lastModifiedBy>
  <cp:revision>2</cp:revision>
  <dcterms:created xsi:type="dcterms:W3CDTF">2024-01-23T21:14:00Z</dcterms:created>
  <dcterms:modified xsi:type="dcterms:W3CDTF">2024-01-23T21:14:00Z</dcterms:modified>
</cp:coreProperties>
</file>